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7B" w:rsidRPr="00F90613" w:rsidRDefault="00701F9F" w:rsidP="00701F9F">
      <w:pPr>
        <w:pStyle w:val="a4"/>
        <w:jc w:val="right"/>
        <w:rPr>
          <w:rFonts w:ascii="Times New Roman" w:hAnsi="Times New Roman"/>
          <w:sz w:val="24"/>
          <w:szCs w:val="24"/>
        </w:rPr>
      </w:pPr>
      <w:r w:rsidRPr="00B76E62">
        <w:rPr>
          <w:rFonts w:ascii="Times New Roman" w:hAnsi="Times New Roman"/>
          <w:b/>
          <w:sz w:val="24"/>
          <w:szCs w:val="24"/>
        </w:rPr>
        <w:t>Приложение</w:t>
      </w:r>
      <w:r w:rsidRPr="00F90613">
        <w:rPr>
          <w:rFonts w:ascii="Times New Roman" w:hAnsi="Times New Roman"/>
          <w:sz w:val="24"/>
          <w:szCs w:val="24"/>
        </w:rPr>
        <w:t xml:space="preserve"> к Докладу</w:t>
      </w:r>
    </w:p>
    <w:p w:rsidR="005D0030" w:rsidRPr="00F90613" w:rsidRDefault="005D0030" w:rsidP="00701F9F">
      <w:pPr>
        <w:pStyle w:val="a4"/>
        <w:jc w:val="right"/>
        <w:rPr>
          <w:rFonts w:ascii="Times New Roman" w:hAnsi="Times New Roman"/>
          <w:sz w:val="24"/>
          <w:szCs w:val="24"/>
        </w:rPr>
      </w:pPr>
      <w:r w:rsidRPr="00F90613">
        <w:rPr>
          <w:rFonts w:ascii="Times New Roman" w:hAnsi="Times New Roman"/>
          <w:sz w:val="24"/>
          <w:szCs w:val="24"/>
        </w:rPr>
        <w:t xml:space="preserve">Уполномоченного при Губернаторе </w:t>
      </w:r>
    </w:p>
    <w:p w:rsidR="00E93A91" w:rsidRPr="00F90613" w:rsidRDefault="005D0030" w:rsidP="00701F9F">
      <w:pPr>
        <w:pStyle w:val="a4"/>
        <w:jc w:val="right"/>
        <w:rPr>
          <w:rFonts w:ascii="Times New Roman" w:hAnsi="Times New Roman"/>
          <w:sz w:val="24"/>
          <w:szCs w:val="24"/>
        </w:rPr>
      </w:pPr>
      <w:r w:rsidRPr="00F90613">
        <w:rPr>
          <w:rFonts w:ascii="Times New Roman" w:hAnsi="Times New Roman"/>
          <w:sz w:val="24"/>
          <w:szCs w:val="24"/>
        </w:rPr>
        <w:t xml:space="preserve">Камчатского края по защите прав </w:t>
      </w:r>
    </w:p>
    <w:p w:rsidR="00701F9F" w:rsidRPr="00F90613" w:rsidRDefault="00E74078" w:rsidP="00701F9F">
      <w:pPr>
        <w:pStyle w:val="a4"/>
        <w:jc w:val="right"/>
        <w:rPr>
          <w:rFonts w:ascii="Times New Roman" w:hAnsi="Times New Roman"/>
          <w:sz w:val="24"/>
          <w:szCs w:val="24"/>
        </w:rPr>
      </w:pPr>
      <w:r>
        <w:rPr>
          <w:rFonts w:ascii="Times New Roman" w:hAnsi="Times New Roman"/>
          <w:sz w:val="24"/>
          <w:szCs w:val="24"/>
        </w:rPr>
        <w:t>предпринимателей за 2015</w:t>
      </w:r>
      <w:r w:rsidR="005D0030" w:rsidRPr="00F90613">
        <w:rPr>
          <w:rFonts w:ascii="Times New Roman" w:hAnsi="Times New Roman"/>
          <w:sz w:val="24"/>
          <w:szCs w:val="24"/>
        </w:rPr>
        <w:t xml:space="preserve"> год</w:t>
      </w:r>
    </w:p>
    <w:p w:rsidR="00E74078" w:rsidRDefault="00E74078" w:rsidP="000F1A7B">
      <w:pPr>
        <w:pStyle w:val="a4"/>
        <w:jc w:val="center"/>
        <w:rPr>
          <w:rFonts w:ascii="Times New Roman" w:hAnsi="Times New Roman"/>
          <w:b/>
          <w:sz w:val="28"/>
          <w:szCs w:val="28"/>
        </w:rPr>
      </w:pPr>
    </w:p>
    <w:p w:rsidR="00E93A91" w:rsidRPr="00E93A91" w:rsidRDefault="000F1A7B" w:rsidP="000F1A7B">
      <w:pPr>
        <w:pStyle w:val="a4"/>
        <w:jc w:val="center"/>
        <w:rPr>
          <w:rFonts w:ascii="Times New Roman" w:hAnsi="Times New Roman"/>
          <w:b/>
          <w:sz w:val="28"/>
          <w:szCs w:val="28"/>
        </w:rPr>
      </w:pPr>
      <w:r w:rsidRPr="00E93A91">
        <w:rPr>
          <w:rFonts w:ascii="Times New Roman" w:hAnsi="Times New Roman"/>
          <w:b/>
          <w:sz w:val="28"/>
          <w:szCs w:val="28"/>
        </w:rPr>
        <w:t xml:space="preserve">Предложения в </w:t>
      </w:r>
      <w:r w:rsidR="009F315F" w:rsidRPr="00E93A91">
        <w:rPr>
          <w:rFonts w:ascii="Times New Roman" w:hAnsi="Times New Roman"/>
          <w:b/>
          <w:sz w:val="28"/>
          <w:szCs w:val="28"/>
        </w:rPr>
        <w:t>Доклад Уполномоченного при Президенте Р</w:t>
      </w:r>
      <w:r w:rsidR="00F90613">
        <w:rPr>
          <w:rFonts w:ascii="Times New Roman" w:hAnsi="Times New Roman"/>
          <w:b/>
          <w:sz w:val="28"/>
          <w:szCs w:val="28"/>
        </w:rPr>
        <w:t xml:space="preserve">оссийской </w:t>
      </w:r>
      <w:r w:rsidR="009F315F" w:rsidRPr="00E93A91">
        <w:rPr>
          <w:rFonts w:ascii="Times New Roman" w:hAnsi="Times New Roman"/>
          <w:b/>
          <w:sz w:val="28"/>
          <w:szCs w:val="28"/>
        </w:rPr>
        <w:t>Ф</w:t>
      </w:r>
      <w:r w:rsidR="00F90613">
        <w:rPr>
          <w:rFonts w:ascii="Times New Roman" w:hAnsi="Times New Roman"/>
          <w:b/>
          <w:sz w:val="28"/>
          <w:szCs w:val="28"/>
        </w:rPr>
        <w:t>едерации</w:t>
      </w:r>
      <w:r w:rsidR="009F315F" w:rsidRPr="00E93A91">
        <w:rPr>
          <w:rFonts w:ascii="Times New Roman" w:hAnsi="Times New Roman"/>
          <w:b/>
          <w:sz w:val="28"/>
          <w:szCs w:val="28"/>
        </w:rPr>
        <w:t xml:space="preserve"> по защите </w:t>
      </w:r>
    </w:p>
    <w:p w:rsidR="000F1A7B" w:rsidRDefault="009F315F" w:rsidP="00E93A91">
      <w:pPr>
        <w:pStyle w:val="a4"/>
        <w:jc w:val="center"/>
        <w:rPr>
          <w:rFonts w:ascii="Times New Roman" w:hAnsi="Times New Roman"/>
          <w:b/>
          <w:sz w:val="28"/>
          <w:szCs w:val="28"/>
        </w:rPr>
      </w:pPr>
      <w:r w:rsidRPr="00E93A91">
        <w:rPr>
          <w:rFonts w:ascii="Times New Roman" w:hAnsi="Times New Roman"/>
          <w:b/>
          <w:sz w:val="28"/>
          <w:szCs w:val="28"/>
        </w:rPr>
        <w:t>прав предпринимателей</w:t>
      </w:r>
      <w:r w:rsidR="00E93A91" w:rsidRPr="00E93A91">
        <w:rPr>
          <w:rFonts w:ascii="Times New Roman" w:hAnsi="Times New Roman"/>
          <w:b/>
          <w:sz w:val="28"/>
          <w:szCs w:val="28"/>
        </w:rPr>
        <w:t xml:space="preserve"> </w:t>
      </w:r>
      <w:r w:rsidRPr="00E93A91">
        <w:rPr>
          <w:rFonts w:ascii="Times New Roman" w:hAnsi="Times New Roman"/>
          <w:b/>
          <w:sz w:val="28"/>
          <w:szCs w:val="28"/>
        </w:rPr>
        <w:t xml:space="preserve">по итогам проведения </w:t>
      </w:r>
      <w:r w:rsidR="000F1A7B" w:rsidRPr="00E93A91">
        <w:rPr>
          <w:rFonts w:ascii="Times New Roman" w:hAnsi="Times New Roman"/>
          <w:b/>
          <w:sz w:val="28"/>
          <w:szCs w:val="28"/>
        </w:rPr>
        <w:t>Круглого стола</w:t>
      </w:r>
      <w:r w:rsidR="00E93A91">
        <w:rPr>
          <w:rFonts w:ascii="Times New Roman" w:hAnsi="Times New Roman"/>
          <w:b/>
          <w:sz w:val="28"/>
          <w:szCs w:val="28"/>
        </w:rPr>
        <w:t xml:space="preserve"> </w:t>
      </w:r>
      <w:r w:rsidR="00E74078">
        <w:rPr>
          <w:rFonts w:ascii="Times New Roman" w:hAnsi="Times New Roman"/>
          <w:b/>
          <w:sz w:val="28"/>
          <w:szCs w:val="28"/>
        </w:rPr>
        <w:t>по обсуждению актуальных проблем бизнеса Камчатского края</w:t>
      </w:r>
      <w:r w:rsidR="000F1A7B" w:rsidRPr="00E93A91">
        <w:rPr>
          <w:rFonts w:ascii="Times New Roman" w:hAnsi="Times New Roman"/>
          <w:b/>
          <w:sz w:val="28"/>
          <w:szCs w:val="28"/>
        </w:rPr>
        <w:t xml:space="preserve"> </w:t>
      </w:r>
      <w:r w:rsidR="00E93A91" w:rsidRPr="00E93A91">
        <w:rPr>
          <w:rFonts w:ascii="Times New Roman" w:hAnsi="Times New Roman"/>
          <w:b/>
          <w:sz w:val="28"/>
          <w:szCs w:val="28"/>
        </w:rPr>
        <w:t xml:space="preserve">с участием </w:t>
      </w:r>
      <w:r w:rsidR="00E74078">
        <w:rPr>
          <w:rFonts w:ascii="Times New Roman" w:hAnsi="Times New Roman"/>
          <w:b/>
          <w:sz w:val="28"/>
          <w:szCs w:val="28"/>
        </w:rPr>
        <w:t xml:space="preserve">представителей общественных объединений предпринимателей, </w:t>
      </w:r>
      <w:r w:rsidR="00E93A91" w:rsidRPr="00E93A91">
        <w:rPr>
          <w:rFonts w:ascii="Times New Roman" w:hAnsi="Times New Roman"/>
          <w:b/>
          <w:sz w:val="28"/>
          <w:szCs w:val="28"/>
        </w:rPr>
        <w:t xml:space="preserve">проведенного Уполномоченным при Губернаторе Камчатского края по защите прав предпринимателей </w:t>
      </w:r>
      <w:r w:rsidR="00E74078">
        <w:rPr>
          <w:rFonts w:ascii="Times New Roman" w:hAnsi="Times New Roman"/>
          <w:b/>
          <w:sz w:val="28"/>
          <w:szCs w:val="28"/>
        </w:rPr>
        <w:t>03.03.2016</w:t>
      </w:r>
      <w:r w:rsidR="00E93A91" w:rsidRPr="00E93A91">
        <w:rPr>
          <w:rFonts w:ascii="Times New Roman" w:hAnsi="Times New Roman"/>
          <w:b/>
          <w:sz w:val="28"/>
          <w:szCs w:val="28"/>
        </w:rPr>
        <w:t xml:space="preserve"> года</w:t>
      </w:r>
      <w:r w:rsidR="00E93A91">
        <w:rPr>
          <w:rFonts w:ascii="Times New Roman" w:hAnsi="Times New Roman"/>
          <w:b/>
          <w:sz w:val="28"/>
          <w:szCs w:val="28"/>
        </w:rPr>
        <w:t xml:space="preserve"> </w:t>
      </w:r>
    </w:p>
    <w:p w:rsidR="00E74078" w:rsidRPr="00E93A91" w:rsidRDefault="00E74078" w:rsidP="00E93A91">
      <w:pPr>
        <w:pStyle w:val="a4"/>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92"/>
        <w:gridCol w:w="3614"/>
      </w:tblGrid>
      <w:tr w:rsidR="000266B2" w:rsidRPr="000266B2" w:rsidTr="00E74078">
        <w:trPr>
          <w:trHeight w:val="810"/>
        </w:trPr>
        <w:tc>
          <w:tcPr>
            <w:tcW w:w="14732" w:type="dxa"/>
            <w:gridSpan w:val="3"/>
            <w:shd w:val="clear" w:color="auto" w:fill="D9D9D9"/>
            <w:vAlign w:val="center"/>
          </w:tcPr>
          <w:p w:rsidR="00D37E36" w:rsidRPr="000266B2" w:rsidRDefault="00E74078" w:rsidP="00E74078">
            <w:pPr>
              <w:spacing w:after="0" w:line="240" w:lineRule="auto"/>
              <w:rPr>
                <w:rFonts w:ascii="Times New Roman" w:hAnsi="Times New Roman"/>
                <w:b/>
                <w:bCs/>
                <w:sz w:val="26"/>
                <w:szCs w:val="26"/>
              </w:rPr>
            </w:pPr>
            <w:r>
              <w:rPr>
                <w:rFonts w:ascii="Times New Roman" w:hAnsi="Times New Roman"/>
                <w:b/>
                <w:bCs/>
                <w:sz w:val="26"/>
                <w:szCs w:val="26"/>
              </w:rPr>
              <w:t>КАМЧАТСКИЙ КРАЙ</w:t>
            </w:r>
          </w:p>
        </w:tc>
      </w:tr>
      <w:tr w:rsidR="00E74078" w:rsidRPr="000266B2" w:rsidTr="00E74078">
        <w:trPr>
          <w:trHeight w:val="810"/>
        </w:trPr>
        <w:tc>
          <w:tcPr>
            <w:tcW w:w="14732" w:type="dxa"/>
            <w:gridSpan w:val="3"/>
            <w:shd w:val="clear" w:color="auto" w:fill="D9D9D9"/>
            <w:vAlign w:val="center"/>
          </w:tcPr>
          <w:p w:rsidR="00E74078" w:rsidRPr="00E93A91" w:rsidRDefault="00E74078" w:rsidP="00E74078">
            <w:pPr>
              <w:spacing w:after="0" w:line="240" w:lineRule="auto"/>
              <w:jc w:val="center"/>
              <w:rPr>
                <w:rFonts w:ascii="Times New Roman" w:hAnsi="Times New Roman"/>
                <w:b/>
                <w:sz w:val="28"/>
                <w:szCs w:val="28"/>
              </w:rPr>
            </w:pPr>
            <w:r w:rsidRPr="000266B2">
              <w:rPr>
                <w:rFonts w:ascii="Times New Roman" w:hAnsi="Times New Roman"/>
                <w:b/>
                <w:bCs/>
                <w:sz w:val="26"/>
                <w:szCs w:val="26"/>
              </w:rPr>
              <w:t xml:space="preserve">Сфера регулирования: </w:t>
            </w:r>
            <w:r>
              <w:rPr>
                <w:rFonts w:ascii="Times New Roman" w:hAnsi="Times New Roman"/>
                <w:b/>
                <w:bCs/>
                <w:sz w:val="26"/>
                <w:szCs w:val="26"/>
              </w:rPr>
              <w:t>Государственный и муниципальные закупки</w:t>
            </w:r>
          </w:p>
        </w:tc>
      </w:tr>
      <w:tr w:rsidR="000266B2" w:rsidRPr="000266B2" w:rsidTr="00E74078">
        <w:trPr>
          <w:trHeight w:val="810"/>
        </w:trPr>
        <w:tc>
          <w:tcPr>
            <w:tcW w:w="5626" w:type="dxa"/>
            <w:shd w:val="clear" w:color="auto" w:fill="D9D9D9"/>
            <w:vAlign w:val="center"/>
          </w:tcPr>
          <w:p w:rsidR="00D37E36" w:rsidRPr="000266B2" w:rsidRDefault="00D37E36"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Проблематика</w:t>
            </w:r>
          </w:p>
        </w:tc>
        <w:tc>
          <w:tcPr>
            <w:tcW w:w="5492" w:type="dxa"/>
            <w:shd w:val="clear" w:color="auto" w:fill="D9D9D9"/>
            <w:vAlign w:val="center"/>
          </w:tcPr>
          <w:p w:rsidR="00D37E36" w:rsidRPr="000266B2" w:rsidRDefault="00D37E36"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Необходимые решения</w:t>
            </w:r>
          </w:p>
        </w:tc>
        <w:tc>
          <w:tcPr>
            <w:tcW w:w="3614" w:type="dxa"/>
            <w:shd w:val="clear" w:color="auto" w:fill="D9D9D9"/>
            <w:vAlign w:val="center"/>
          </w:tcPr>
          <w:p w:rsidR="00D37E36" w:rsidRPr="000266B2" w:rsidRDefault="00D37E36"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Перечень поручений</w:t>
            </w:r>
          </w:p>
        </w:tc>
      </w:tr>
      <w:tr w:rsidR="000266B2" w:rsidRPr="000266B2" w:rsidTr="00E74078">
        <w:trPr>
          <w:trHeight w:val="699"/>
        </w:trPr>
        <w:tc>
          <w:tcPr>
            <w:tcW w:w="5626" w:type="dxa"/>
            <w:shd w:val="clear" w:color="auto" w:fill="auto"/>
          </w:tcPr>
          <w:p w:rsidR="00E74078" w:rsidRDefault="00E74078" w:rsidP="00B12A8E">
            <w:pPr>
              <w:spacing w:after="0" w:line="240" w:lineRule="auto"/>
              <w:jc w:val="both"/>
              <w:rPr>
                <w:rFonts w:ascii="Times New Roman" w:hAnsi="Times New Roman"/>
                <w:bCs/>
                <w:sz w:val="26"/>
                <w:szCs w:val="26"/>
              </w:rPr>
            </w:pPr>
            <w:r>
              <w:rPr>
                <w:rFonts w:ascii="Times New Roman" w:hAnsi="Times New Roman"/>
                <w:bCs/>
                <w:sz w:val="26"/>
                <w:szCs w:val="26"/>
              </w:rPr>
              <w:t>Несовершенство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12A8E">
              <w:rPr>
                <w:rFonts w:ascii="Times New Roman" w:hAnsi="Times New Roman"/>
                <w:bCs/>
                <w:sz w:val="26"/>
                <w:szCs w:val="26"/>
              </w:rPr>
              <w:t xml:space="preserve">. Камчатские поставщики не могут стать победителями в конкурсах и аукционах, проводимых госструктурами. Местные компании работая в условиях Крайнего Севера обязаны исполнять трудовое федеральное законодательство, обеспечить работникам выплаты районного коэффициента и надбавок к зарплате, обеспечить работнику ежегодный дополнительный оплачиваемый отпуск. Компенсировать расходы на оплату стоимости </w:t>
            </w:r>
            <w:r w:rsidR="00B12A8E">
              <w:rPr>
                <w:rFonts w:ascii="Times New Roman" w:hAnsi="Times New Roman"/>
                <w:bCs/>
                <w:sz w:val="26"/>
                <w:szCs w:val="26"/>
              </w:rPr>
              <w:lastRenderedPageBreak/>
              <w:t>проезда и провоза багажа к месту используемого отпуска и обратно</w:t>
            </w:r>
          </w:p>
          <w:p w:rsidR="00E74078" w:rsidRPr="00265C5E" w:rsidRDefault="00E74078" w:rsidP="00E74078">
            <w:pPr>
              <w:spacing w:after="0" w:line="240" w:lineRule="auto"/>
              <w:rPr>
                <w:rFonts w:ascii="Times New Roman" w:hAnsi="Times New Roman"/>
                <w:bCs/>
                <w:sz w:val="26"/>
                <w:szCs w:val="26"/>
              </w:rPr>
            </w:pPr>
          </w:p>
        </w:tc>
        <w:tc>
          <w:tcPr>
            <w:tcW w:w="5492" w:type="dxa"/>
            <w:shd w:val="clear" w:color="auto" w:fill="auto"/>
          </w:tcPr>
          <w:p w:rsidR="00D37E36" w:rsidRDefault="00B12A8E" w:rsidP="00B12A8E">
            <w:pPr>
              <w:spacing w:after="0" w:line="240" w:lineRule="auto"/>
              <w:jc w:val="both"/>
              <w:rPr>
                <w:rFonts w:ascii="Times New Roman" w:hAnsi="Times New Roman"/>
                <w:bCs/>
                <w:sz w:val="26"/>
                <w:szCs w:val="26"/>
              </w:rPr>
            </w:pPr>
            <w:r>
              <w:rPr>
                <w:rFonts w:ascii="Times New Roman" w:hAnsi="Times New Roman"/>
                <w:bCs/>
                <w:sz w:val="26"/>
                <w:szCs w:val="26"/>
              </w:rPr>
              <w:lastRenderedPageBreak/>
              <w:t>Ввести в Федеральный закон от 05.04.2013    № 44-ФЗ «О контрактной системе в сфере закупок товаров, работ, услуг для обеспечения государственных и муниципальных нужд» ряд критериев, учитывающих профессиональный уровень участников конкурса, местонахождение организации. При подведении итогов конкурса или аукциона устанавливать минимальную стоимость лота в сравнении с начальной ценой (снижение в пределах 30-35% - коэффициент</w:t>
            </w:r>
            <w:r w:rsidR="00504962">
              <w:rPr>
                <w:rFonts w:ascii="Times New Roman" w:hAnsi="Times New Roman"/>
                <w:bCs/>
                <w:sz w:val="26"/>
                <w:szCs w:val="26"/>
              </w:rPr>
              <w:t xml:space="preserve"> учитывающий разницу в заработной плате и накладных расходов для центральной России и работников Крайнего Севера</w:t>
            </w:r>
            <w:r w:rsidR="00DA1EAA">
              <w:rPr>
                <w:rFonts w:ascii="Times New Roman" w:hAnsi="Times New Roman"/>
                <w:bCs/>
                <w:sz w:val="26"/>
                <w:szCs w:val="26"/>
              </w:rPr>
              <w:t>).</w:t>
            </w:r>
          </w:p>
          <w:p w:rsidR="00DA1EAA" w:rsidRPr="00265C5E" w:rsidRDefault="00DA1EAA" w:rsidP="00B12A8E">
            <w:pPr>
              <w:spacing w:after="0" w:line="240" w:lineRule="auto"/>
              <w:jc w:val="both"/>
              <w:rPr>
                <w:rFonts w:ascii="Times New Roman" w:hAnsi="Times New Roman"/>
                <w:bCs/>
                <w:sz w:val="26"/>
                <w:szCs w:val="26"/>
              </w:rPr>
            </w:pPr>
          </w:p>
        </w:tc>
        <w:tc>
          <w:tcPr>
            <w:tcW w:w="3614" w:type="dxa"/>
            <w:shd w:val="clear" w:color="auto" w:fill="auto"/>
          </w:tcPr>
          <w:p w:rsidR="00D37E36" w:rsidRDefault="00DA1EAA" w:rsidP="00DA1EAA">
            <w:pPr>
              <w:spacing w:after="0" w:line="240" w:lineRule="auto"/>
              <w:jc w:val="both"/>
              <w:rPr>
                <w:rFonts w:ascii="Times New Roman" w:hAnsi="Times New Roman"/>
                <w:bCs/>
                <w:sz w:val="26"/>
                <w:szCs w:val="26"/>
              </w:rPr>
            </w:pPr>
            <w:r>
              <w:rPr>
                <w:rFonts w:ascii="Times New Roman" w:hAnsi="Times New Roman"/>
                <w:bCs/>
                <w:sz w:val="26"/>
                <w:szCs w:val="26"/>
              </w:rPr>
              <w:t>Министерство экономического развития РФ выступить с законодательной инициативой по внесению изменений в Федеральный закон 44-ФЗ в части создания преференций для компаний, постоянно работающих в условиях Крайнего Севера</w:t>
            </w:r>
          </w:p>
          <w:p w:rsidR="00DA1EAA" w:rsidRPr="00265C5E" w:rsidRDefault="00DA1EAA" w:rsidP="00DA1EAA">
            <w:pPr>
              <w:spacing w:after="0" w:line="240" w:lineRule="auto"/>
              <w:jc w:val="both"/>
              <w:rPr>
                <w:rFonts w:ascii="Times New Roman" w:hAnsi="Times New Roman"/>
                <w:bCs/>
                <w:sz w:val="26"/>
                <w:szCs w:val="26"/>
              </w:rPr>
            </w:pPr>
            <w:r>
              <w:rPr>
                <w:rFonts w:ascii="Times New Roman" w:hAnsi="Times New Roman"/>
                <w:bCs/>
                <w:sz w:val="26"/>
                <w:szCs w:val="26"/>
              </w:rPr>
              <w:t>Срок: до конца 2016 года</w:t>
            </w:r>
          </w:p>
        </w:tc>
      </w:tr>
      <w:tr w:rsidR="00C2400C" w:rsidRPr="000266B2" w:rsidTr="00E74078">
        <w:trPr>
          <w:trHeight w:val="699"/>
        </w:trPr>
        <w:tc>
          <w:tcPr>
            <w:tcW w:w="5626" w:type="dxa"/>
            <w:shd w:val="clear" w:color="auto" w:fill="auto"/>
          </w:tcPr>
          <w:p w:rsidR="00C2400C" w:rsidRDefault="00C2400C" w:rsidP="00C2400C">
            <w:pPr>
              <w:spacing w:after="0" w:line="240" w:lineRule="auto"/>
              <w:jc w:val="both"/>
              <w:rPr>
                <w:rFonts w:ascii="Times New Roman" w:hAnsi="Times New Roman"/>
                <w:bCs/>
                <w:sz w:val="26"/>
                <w:szCs w:val="26"/>
              </w:rPr>
            </w:pPr>
            <w:r>
              <w:rPr>
                <w:rFonts w:ascii="Times New Roman" w:hAnsi="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позволяет заказчикам авансировать подрядчика при исполнении государственного, муниципального контракта, однако все закупки Министерство строительства камчатского края остаются вне авансов для подрядчиков. Подрядчики помимо обеспечения контракта вынуждены из своих оборотных средств закупать материалы для начала работ по контракту, таким образом кредитуя государство с риском потерять финансовую устойчивость предприятия</w:t>
            </w:r>
          </w:p>
          <w:p w:rsidR="00C2400C" w:rsidRDefault="00C2400C" w:rsidP="00C2400C">
            <w:pPr>
              <w:spacing w:after="0" w:line="240" w:lineRule="auto"/>
              <w:jc w:val="both"/>
              <w:rPr>
                <w:rFonts w:ascii="Times New Roman" w:hAnsi="Times New Roman"/>
                <w:bCs/>
                <w:sz w:val="26"/>
                <w:szCs w:val="26"/>
              </w:rPr>
            </w:pPr>
          </w:p>
        </w:tc>
        <w:tc>
          <w:tcPr>
            <w:tcW w:w="5492" w:type="dxa"/>
            <w:shd w:val="clear" w:color="auto" w:fill="auto"/>
          </w:tcPr>
          <w:p w:rsidR="00C2400C" w:rsidRDefault="00C2400C" w:rsidP="00B12A8E">
            <w:pPr>
              <w:spacing w:after="0" w:line="240" w:lineRule="auto"/>
              <w:jc w:val="both"/>
              <w:rPr>
                <w:rFonts w:ascii="Times New Roman" w:hAnsi="Times New Roman"/>
                <w:bCs/>
                <w:sz w:val="26"/>
                <w:szCs w:val="26"/>
              </w:rPr>
            </w:pPr>
            <w:r>
              <w:rPr>
                <w:rFonts w:ascii="Times New Roman" w:hAnsi="Times New Roman"/>
                <w:bCs/>
                <w:sz w:val="26"/>
                <w:szCs w:val="26"/>
              </w:rPr>
              <w:t xml:space="preserve">Необходимо </w:t>
            </w:r>
            <w:r w:rsidR="00AD165C">
              <w:rPr>
                <w:rFonts w:ascii="Times New Roman" w:hAnsi="Times New Roman"/>
                <w:bCs/>
                <w:sz w:val="26"/>
                <w:szCs w:val="26"/>
              </w:rPr>
              <w:t>принять решение (издать нормативный акт) на уровне Правительства К</w:t>
            </w:r>
            <w:r>
              <w:rPr>
                <w:rFonts w:ascii="Times New Roman" w:hAnsi="Times New Roman"/>
                <w:bCs/>
                <w:sz w:val="26"/>
                <w:szCs w:val="26"/>
              </w:rPr>
              <w:t>амчатского края о целевом финансировании закупа стройматериалов для исполнения государственного, муниципального заказа</w:t>
            </w:r>
          </w:p>
        </w:tc>
        <w:tc>
          <w:tcPr>
            <w:tcW w:w="3614" w:type="dxa"/>
            <w:shd w:val="clear" w:color="auto" w:fill="auto"/>
          </w:tcPr>
          <w:p w:rsidR="00C2400C" w:rsidRDefault="00AD165C" w:rsidP="00DA1EAA">
            <w:pPr>
              <w:spacing w:after="0" w:line="240" w:lineRule="auto"/>
              <w:jc w:val="both"/>
              <w:rPr>
                <w:rFonts w:ascii="Times New Roman" w:hAnsi="Times New Roman"/>
                <w:bCs/>
                <w:sz w:val="26"/>
                <w:szCs w:val="26"/>
              </w:rPr>
            </w:pPr>
            <w:r>
              <w:rPr>
                <w:rFonts w:ascii="Times New Roman" w:hAnsi="Times New Roman"/>
                <w:bCs/>
                <w:sz w:val="26"/>
                <w:szCs w:val="26"/>
              </w:rPr>
              <w:t>Правительство Камчатского края, Министерство строительства Камчатского края</w:t>
            </w:r>
          </w:p>
        </w:tc>
      </w:tr>
      <w:tr w:rsidR="000266B2" w:rsidRPr="000266B2" w:rsidTr="00E74078">
        <w:trPr>
          <w:trHeight w:val="510"/>
        </w:trPr>
        <w:tc>
          <w:tcPr>
            <w:tcW w:w="14732" w:type="dxa"/>
            <w:gridSpan w:val="3"/>
            <w:shd w:val="clear" w:color="auto" w:fill="D9D9D9"/>
            <w:vAlign w:val="center"/>
            <w:hideMark/>
          </w:tcPr>
          <w:p w:rsidR="00D37E36" w:rsidRPr="000266B2" w:rsidRDefault="00D37E36" w:rsidP="00C04DB0">
            <w:pPr>
              <w:spacing w:after="0" w:line="240" w:lineRule="auto"/>
              <w:jc w:val="center"/>
              <w:rPr>
                <w:rFonts w:ascii="Times New Roman" w:hAnsi="Times New Roman"/>
                <w:b/>
                <w:bCs/>
                <w:sz w:val="26"/>
                <w:szCs w:val="26"/>
              </w:rPr>
            </w:pPr>
            <w:bookmarkStart w:id="0" w:name="_GoBack"/>
            <w:bookmarkEnd w:id="0"/>
            <w:r w:rsidRPr="000266B2">
              <w:rPr>
                <w:rFonts w:ascii="Times New Roman" w:hAnsi="Times New Roman"/>
                <w:b/>
                <w:bCs/>
                <w:sz w:val="26"/>
                <w:szCs w:val="26"/>
              </w:rPr>
              <w:t xml:space="preserve">Сфера регулирования: </w:t>
            </w:r>
            <w:r w:rsidR="00C04DB0">
              <w:rPr>
                <w:rFonts w:ascii="Times New Roman" w:hAnsi="Times New Roman"/>
                <w:b/>
                <w:bCs/>
                <w:sz w:val="26"/>
                <w:szCs w:val="26"/>
              </w:rPr>
              <w:t>Банковское кредитование бизнеса</w:t>
            </w:r>
          </w:p>
        </w:tc>
      </w:tr>
      <w:tr w:rsidR="000266B2" w:rsidRPr="000266B2" w:rsidTr="00E74078">
        <w:trPr>
          <w:trHeight w:val="810"/>
        </w:trPr>
        <w:tc>
          <w:tcPr>
            <w:tcW w:w="5626" w:type="dxa"/>
            <w:shd w:val="clear" w:color="auto" w:fill="D9D9D9"/>
            <w:vAlign w:val="center"/>
            <w:hideMark/>
          </w:tcPr>
          <w:p w:rsidR="00D37E36" w:rsidRPr="000266B2" w:rsidRDefault="00D37E36"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Проблематика</w:t>
            </w:r>
          </w:p>
        </w:tc>
        <w:tc>
          <w:tcPr>
            <w:tcW w:w="5492" w:type="dxa"/>
            <w:shd w:val="clear" w:color="auto" w:fill="D9D9D9"/>
            <w:vAlign w:val="center"/>
            <w:hideMark/>
          </w:tcPr>
          <w:p w:rsidR="00D37E36" w:rsidRPr="000266B2" w:rsidRDefault="00D37E36"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Необходимые решения</w:t>
            </w:r>
          </w:p>
        </w:tc>
        <w:tc>
          <w:tcPr>
            <w:tcW w:w="3614" w:type="dxa"/>
            <w:shd w:val="clear" w:color="auto" w:fill="D9D9D9"/>
            <w:vAlign w:val="center"/>
            <w:hideMark/>
          </w:tcPr>
          <w:p w:rsidR="00D37E36" w:rsidRPr="000266B2" w:rsidRDefault="00D37E36"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Перечень поручений</w:t>
            </w:r>
          </w:p>
        </w:tc>
      </w:tr>
      <w:tr w:rsidR="000266B2" w:rsidRPr="000266B2" w:rsidTr="00E74078">
        <w:trPr>
          <w:trHeight w:val="699"/>
        </w:trPr>
        <w:tc>
          <w:tcPr>
            <w:tcW w:w="5626" w:type="dxa"/>
            <w:shd w:val="clear" w:color="auto" w:fill="auto"/>
          </w:tcPr>
          <w:p w:rsidR="00661974" w:rsidRDefault="00C04DB0" w:rsidP="00C04DB0">
            <w:pPr>
              <w:spacing w:after="0" w:line="240" w:lineRule="auto"/>
              <w:jc w:val="both"/>
              <w:rPr>
                <w:rFonts w:ascii="Times New Roman" w:hAnsi="Times New Roman"/>
                <w:bCs/>
                <w:sz w:val="26"/>
                <w:szCs w:val="26"/>
              </w:rPr>
            </w:pPr>
            <w:r>
              <w:rPr>
                <w:rFonts w:ascii="Times New Roman" w:hAnsi="Times New Roman"/>
                <w:bCs/>
                <w:sz w:val="26"/>
                <w:szCs w:val="26"/>
              </w:rPr>
              <w:t>Недостаток денежных средств в реальной экономике в связи с недоступностью кредитных ресурсов коммерческих банков для субъектов малого и среднего предпринимательства из-за высокой стоимости денег (от 15% годовых). Фактически банки имеют финансовые средства, но мало желающих предпринимателей ими воспользоваться по такой высокий %</w:t>
            </w:r>
          </w:p>
          <w:p w:rsidR="00C04DB0" w:rsidRPr="00265C5E" w:rsidRDefault="00C04DB0" w:rsidP="00C04DB0">
            <w:pPr>
              <w:spacing w:after="0" w:line="240" w:lineRule="auto"/>
              <w:jc w:val="both"/>
              <w:rPr>
                <w:rFonts w:ascii="Times New Roman" w:hAnsi="Times New Roman"/>
                <w:bCs/>
                <w:sz w:val="26"/>
                <w:szCs w:val="26"/>
              </w:rPr>
            </w:pPr>
          </w:p>
        </w:tc>
        <w:tc>
          <w:tcPr>
            <w:tcW w:w="5492" w:type="dxa"/>
            <w:shd w:val="clear" w:color="auto" w:fill="auto"/>
          </w:tcPr>
          <w:p w:rsidR="00661974" w:rsidRDefault="00C04DB0" w:rsidP="00CB2F87">
            <w:pPr>
              <w:spacing w:after="0" w:line="240" w:lineRule="auto"/>
              <w:jc w:val="both"/>
              <w:rPr>
                <w:rFonts w:ascii="Times New Roman" w:hAnsi="Times New Roman"/>
                <w:bCs/>
                <w:sz w:val="26"/>
                <w:szCs w:val="26"/>
              </w:rPr>
            </w:pPr>
            <w:r>
              <w:rPr>
                <w:rFonts w:ascii="Times New Roman" w:hAnsi="Times New Roman"/>
                <w:bCs/>
                <w:sz w:val="26"/>
                <w:szCs w:val="26"/>
              </w:rPr>
              <w:t>Установить в целом по РФ единую максимальную % ставку по которой вправе кредитовать субъекты МСП, например, в размере</w:t>
            </w:r>
            <w:r w:rsidR="00CB2F87">
              <w:rPr>
                <w:rFonts w:ascii="Times New Roman" w:hAnsi="Times New Roman"/>
                <w:bCs/>
                <w:sz w:val="26"/>
                <w:szCs w:val="26"/>
              </w:rPr>
              <w:t>,</w:t>
            </w:r>
            <w:r>
              <w:rPr>
                <w:rFonts w:ascii="Times New Roman" w:hAnsi="Times New Roman"/>
                <w:bCs/>
                <w:sz w:val="26"/>
                <w:szCs w:val="26"/>
              </w:rPr>
              <w:t xml:space="preserve"> не превышающем % ставки по депозитам клиентов С</w:t>
            </w:r>
            <w:r w:rsidR="00CB2F87">
              <w:rPr>
                <w:rFonts w:ascii="Times New Roman" w:hAnsi="Times New Roman"/>
                <w:bCs/>
                <w:sz w:val="26"/>
                <w:szCs w:val="26"/>
              </w:rPr>
              <w:t xml:space="preserve">бербанка – </w:t>
            </w:r>
            <w:r>
              <w:rPr>
                <w:rFonts w:ascii="Times New Roman" w:hAnsi="Times New Roman"/>
                <w:bCs/>
                <w:sz w:val="26"/>
                <w:szCs w:val="26"/>
              </w:rPr>
              <w:t>физических лиц</w:t>
            </w:r>
            <w:r w:rsidR="00CB2F87">
              <w:rPr>
                <w:rFonts w:ascii="Times New Roman" w:hAnsi="Times New Roman"/>
                <w:bCs/>
                <w:sz w:val="26"/>
                <w:szCs w:val="26"/>
              </w:rPr>
              <w:t>.</w:t>
            </w:r>
          </w:p>
          <w:p w:rsidR="00CB2F87" w:rsidRPr="00265C5E" w:rsidRDefault="00CB2F87" w:rsidP="00CB2F87">
            <w:pPr>
              <w:spacing w:after="0" w:line="240" w:lineRule="auto"/>
              <w:jc w:val="both"/>
              <w:rPr>
                <w:rFonts w:ascii="Times New Roman" w:hAnsi="Times New Roman"/>
                <w:bCs/>
                <w:sz w:val="26"/>
                <w:szCs w:val="26"/>
              </w:rPr>
            </w:pPr>
          </w:p>
        </w:tc>
        <w:tc>
          <w:tcPr>
            <w:tcW w:w="3614" w:type="dxa"/>
            <w:shd w:val="clear" w:color="auto" w:fill="auto"/>
          </w:tcPr>
          <w:p w:rsidR="00AC3503" w:rsidRDefault="00CB2F87" w:rsidP="00C04DB0">
            <w:pPr>
              <w:spacing w:after="0" w:line="240" w:lineRule="auto"/>
              <w:jc w:val="both"/>
              <w:rPr>
                <w:rFonts w:ascii="Times New Roman" w:hAnsi="Times New Roman"/>
                <w:bCs/>
                <w:sz w:val="26"/>
                <w:szCs w:val="26"/>
              </w:rPr>
            </w:pPr>
            <w:r>
              <w:rPr>
                <w:rFonts w:ascii="Times New Roman" w:hAnsi="Times New Roman"/>
                <w:bCs/>
                <w:sz w:val="26"/>
                <w:szCs w:val="26"/>
              </w:rPr>
              <w:t>Центральному Банку РФ, Министерству экономического развития РФ, Министерству финансов РФ</w:t>
            </w:r>
            <w:r w:rsidR="00DA1EAA">
              <w:rPr>
                <w:rFonts w:ascii="Times New Roman" w:hAnsi="Times New Roman"/>
                <w:bCs/>
                <w:sz w:val="26"/>
                <w:szCs w:val="26"/>
              </w:rPr>
              <w:t xml:space="preserve"> разработать механизм компенсации возможных потерь доходности коммерческих банков в связи с кредитованием субъектов </w:t>
            </w:r>
            <w:r w:rsidR="00DA1EAA">
              <w:rPr>
                <w:rFonts w:ascii="Times New Roman" w:hAnsi="Times New Roman"/>
                <w:bCs/>
                <w:sz w:val="26"/>
                <w:szCs w:val="26"/>
              </w:rPr>
              <w:lastRenderedPageBreak/>
              <w:t>МСП по ставке ниже учетной, установленной ЦБ РФ</w:t>
            </w:r>
          </w:p>
          <w:p w:rsidR="00DA1EAA" w:rsidRDefault="00DA1EAA" w:rsidP="00C04DB0">
            <w:pPr>
              <w:spacing w:after="0" w:line="240" w:lineRule="auto"/>
              <w:jc w:val="both"/>
              <w:rPr>
                <w:rFonts w:ascii="Times New Roman" w:hAnsi="Times New Roman"/>
                <w:bCs/>
                <w:sz w:val="26"/>
                <w:szCs w:val="26"/>
              </w:rPr>
            </w:pPr>
            <w:r>
              <w:rPr>
                <w:rFonts w:ascii="Times New Roman" w:hAnsi="Times New Roman"/>
                <w:bCs/>
                <w:sz w:val="26"/>
                <w:szCs w:val="26"/>
              </w:rPr>
              <w:t>Срок: до конца 2016 года</w:t>
            </w:r>
          </w:p>
          <w:p w:rsidR="00DA1EAA" w:rsidRPr="00265C5E" w:rsidRDefault="00DA1EAA" w:rsidP="00C04DB0">
            <w:pPr>
              <w:spacing w:after="0" w:line="240" w:lineRule="auto"/>
              <w:jc w:val="both"/>
              <w:rPr>
                <w:rFonts w:ascii="Times New Roman" w:hAnsi="Times New Roman"/>
                <w:bCs/>
                <w:sz w:val="26"/>
                <w:szCs w:val="26"/>
              </w:rPr>
            </w:pPr>
          </w:p>
        </w:tc>
      </w:tr>
      <w:tr w:rsidR="000266B2" w:rsidRPr="000266B2" w:rsidTr="00E74078">
        <w:trPr>
          <w:trHeight w:val="510"/>
        </w:trPr>
        <w:tc>
          <w:tcPr>
            <w:tcW w:w="14732" w:type="dxa"/>
            <w:gridSpan w:val="3"/>
            <w:shd w:val="clear" w:color="auto" w:fill="D9D9D9"/>
            <w:vAlign w:val="center"/>
            <w:hideMark/>
          </w:tcPr>
          <w:p w:rsidR="00661974" w:rsidRPr="000266B2" w:rsidRDefault="00661974" w:rsidP="00D736CD">
            <w:pPr>
              <w:spacing w:after="0" w:line="240" w:lineRule="auto"/>
              <w:jc w:val="center"/>
              <w:rPr>
                <w:rFonts w:ascii="Times New Roman" w:hAnsi="Times New Roman"/>
                <w:b/>
                <w:bCs/>
                <w:sz w:val="26"/>
                <w:szCs w:val="26"/>
              </w:rPr>
            </w:pPr>
            <w:r w:rsidRPr="000266B2">
              <w:rPr>
                <w:rFonts w:ascii="Times New Roman" w:hAnsi="Times New Roman"/>
                <w:b/>
                <w:bCs/>
                <w:sz w:val="26"/>
                <w:szCs w:val="26"/>
              </w:rPr>
              <w:lastRenderedPageBreak/>
              <w:t xml:space="preserve">Сфера регулирования: </w:t>
            </w:r>
            <w:r w:rsidR="00D736CD">
              <w:rPr>
                <w:rFonts w:ascii="Times New Roman" w:hAnsi="Times New Roman"/>
                <w:b/>
                <w:bCs/>
                <w:sz w:val="26"/>
                <w:szCs w:val="26"/>
              </w:rPr>
              <w:t>кадастры, земельные отношения и имущественные права</w:t>
            </w:r>
          </w:p>
        </w:tc>
      </w:tr>
      <w:tr w:rsidR="000266B2" w:rsidRPr="000266B2" w:rsidTr="00E74078">
        <w:trPr>
          <w:trHeight w:val="810"/>
        </w:trPr>
        <w:tc>
          <w:tcPr>
            <w:tcW w:w="5626" w:type="dxa"/>
            <w:shd w:val="clear" w:color="auto" w:fill="D9D9D9"/>
            <w:vAlign w:val="center"/>
            <w:hideMark/>
          </w:tcPr>
          <w:p w:rsidR="00661974" w:rsidRPr="000266B2" w:rsidRDefault="00661974"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Проблематика</w:t>
            </w:r>
          </w:p>
        </w:tc>
        <w:tc>
          <w:tcPr>
            <w:tcW w:w="5492" w:type="dxa"/>
            <w:shd w:val="clear" w:color="auto" w:fill="D9D9D9"/>
            <w:vAlign w:val="center"/>
            <w:hideMark/>
          </w:tcPr>
          <w:p w:rsidR="00661974" w:rsidRPr="000266B2" w:rsidRDefault="00661974"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Необходимые решения</w:t>
            </w:r>
          </w:p>
        </w:tc>
        <w:tc>
          <w:tcPr>
            <w:tcW w:w="3614" w:type="dxa"/>
            <w:shd w:val="clear" w:color="auto" w:fill="D9D9D9"/>
            <w:vAlign w:val="center"/>
            <w:hideMark/>
          </w:tcPr>
          <w:p w:rsidR="00661974" w:rsidRPr="000266B2" w:rsidRDefault="00661974"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Перечень поручений</w:t>
            </w:r>
          </w:p>
        </w:tc>
      </w:tr>
      <w:tr w:rsidR="000266B2" w:rsidRPr="000266B2" w:rsidTr="00E74078">
        <w:trPr>
          <w:trHeight w:val="699"/>
        </w:trPr>
        <w:tc>
          <w:tcPr>
            <w:tcW w:w="5626" w:type="dxa"/>
            <w:shd w:val="clear" w:color="auto" w:fill="auto"/>
          </w:tcPr>
          <w:p w:rsidR="00B51C90" w:rsidRDefault="00B51C90" w:rsidP="00B51C90">
            <w:pPr>
              <w:spacing w:after="0" w:line="240" w:lineRule="auto"/>
              <w:rPr>
                <w:rFonts w:ascii="Times New Roman" w:hAnsi="Times New Roman"/>
                <w:bCs/>
                <w:sz w:val="26"/>
                <w:szCs w:val="26"/>
              </w:rPr>
            </w:pPr>
            <w:r>
              <w:rPr>
                <w:rFonts w:ascii="Times New Roman" w:hAnsi="Times New Roman"/>
                <w:bCs/>
                <w:sz w:val="26"/>
                <w:szCs w:val="26"/>
              </w:rPr>
              <w:t>Отказ от постановки на кадастровый учет объектов капитального строительства несмотря на наличие разрешения на ввод объекта в эксплуатацию. Запрет в постановке на кадастровый учет реализуется, если сведения о характеристиках объекта недвижимости на основании проектной документации не соответствует сведениям, указанным в разрешении на ввод объекта в эксплуатацию. Расхождения между Технико-экономическими показателями (ТЭП) проектными и ТЭП фактическими происходят по нескольким причинам. Невозможно точно подсчитать ТЭП со стороны проектной организации, имеются допустимые отклонения при строительстве здания со стороны подрядчика, методикой подсчета ТЭП со стороны кадастрового инженера, а также со стороны инвестора. До вступления в силу письма Федеральной службы государственной регистрации кадастра и картографии от 26.08.2015 № 14-08449/15 объекты ставили на кадастровый учет по фактическим ТЭП</w:t>
            </w:r>
          </w:p>
          <w:p w:rsidR="00D736CD" w:rsidRPr="00265C5E" w:rsidRDefault="00D736CD" w:rsidP="00E9606C">
            <w:pPr>
              <w:spacing w:after="0" w:line="240" w:lineRule="auto"/>
              <w:rPr>
                <w:rFonts w:ascii="Times New Roman" w:hAnsi="Times New Roman"/>
                <w:bCs/>
                <w:sz w:val="26"/>
                <w:szCs w:val="26"/>
              </w:rPr>
            </w:pPr>
          </w:p>
        </w:tc>
        <w:tc>
          <w:tcPr>
            <w:tcW w:w="5492" w:type="dxa"/>
            <w:shd w:val="clear" w:color="auto" w:fill="auto"/>
          </w:tcPr>
          <w:p w:rsidR="00661974" w:rsidRPr="00265C5E" w:rsidRDefault="00053332" w:rsidP="00053332">
            <w:pPr>
              <w:spacing w:after="0" w:line="240" w:lineRule="auto"/>
              <w:rPr>
                <w:rFonts w:ascii="Times New Roman" w:hAnsi="Times New Roman"/>
                <w:bCs/>
                <w:sz w:val="26"/>
                <w:szCs w:val="26"/>
              </w:rPr>
            </w:pPr>
            <w:r>
              <w:rPr>
                <w:rFonts w:ascii="Times New Roman" w:hAnsi="Times New Roman"/>
                <w:bCs/>
                <w:sz w:val="26"/>
                <w:szCs w:val="26"/>
              </w:rPr>
              <w:t xml:space="preserve">Установить допустимую погрешность в размере 5% </w:t>
            </w:r>
            <w:r w:rsidR="006739DC">
              <w:rPr>
                <w:rFonts w:ascii="Times New Roman" w:hAnsi="Times New Roman"/>
                <w:bCs/>
                <w:sz w:val="26"/>
                <w:szCs w:val="26"/>
              </w:rPr>
              <w:t>на общую площадь объекта и на 10% на объем здания</w:t>
            </w:r>
          </w:p>
        </w:tc>
        <w:tc>
          <w:tcPr>
            <w:tcW w:w="3614" w:type="dxa"/>
            <w:shd w:val="clear" w:color="auto" w:fill="auto"/>
          </w:tcPr>
          <w:p w:rsidR="009001DD" w:rsidRPr="006D44D9" w:rsidRDefault="006739DC" w:rsidP="00661974">
            <w:pPr>
              <w:spacing w:after="0" w:line="240" w:lineRule="auto"/>
              <w:rPr>
                <w:rFonts w:ascii="Times New Roman" w:hAnsi="Times New Roman"/>
                <w:bCs/>
                <w:sz w:val="26"/>
                <w:szCs w:val="26"/>
              </w:rPr>
            </w:pPr>
            <w:r>
              <w:rPr>
                <w:rFonts w:ascii="Times New Roman" w:hAnsi="Times New Roman"/>
                <w:bCs/>
                <w:sz w:val="26"/>
                <w:szCs w:val="26"/>
              </w:rPr>
              <w:t>Министерство экономического развития РФ, Федеральная служба государственной регистрации кадастра и картографии</w:t>
            </w:r>
          </w:p>
        </w:tc>
      </w:tr>
      <w:tr w:rsidR="00BC13B9" w:rsidRPr="000266B2" w:rsidTr="00E74078">
        <w:trPr>
          <w:trHeight w:val="699"/>
        </w:trPr>
        <w:tc>
          <w:tcPr>
            <w:tcW w:w="5626" w:type="dxa"/>
            <w:shd w:val="clear" w:color="auto" w:fill="auto"/>
          </w:tcPr>
          <w:p w:rsidR="00BC13B9" w:rsidRDefault="00BC13B9" w:rsidP="00E9606C">
            <w:pPr>
              <w:spacing w:after="0" w:line="240" w:lineRule="auto"/>
              <w:rPr>
                <w:rFonts w:ascii="Times New Roman" w:hAnsi="Times New Roman"/>
                <w:bCs/>
                <w:sz w:val="26"/>
                <w:szCs w:val="26"/>
              </w:rPr>
            </w:pPr>
            <w:r>
              <w:rPr>
                <w:rFonts w:ascii="Times New Roman" w:hAnsi="Times New Roman"/>
                <w:bCs/>
                <w:sz w:val="26"/>
                <w:szCs w:val="26"/>
              </w:rPr>
              <w:lastRenderedPageBreak/>
              <w:t>В Петропавловск-Камчатском городском округе невозможно получить земельный участок под строительство здания (сооружения). Администрация муниципального образования в лице уполномоченного органа отказывает в представлении данной услуги в связи с отсутствием Проекта планировки территории и проекта межевания территории. Более года земли под строительство не предоставляются. Финансирование на данные работы выделялось из краевого бюджета в 2014 и 2015 годах, но небыли освоены.</w:t>
            </w:r>
          </w:p>
          <w:p w:rsidR="00BC13B9" w:rsidRDefault="00BC13B9" w:rsidP="00E9606C">
            <w:pPr>
              <w:spacing w:after="0" w:line="240" w:lineRule="auto"/>
              <w:rPr>
                <w:rFonts w:ascii="Times New Roman" w:hAnsi="Times New Roman"/>
                <w:bCs/>
                <w:sz w:val="26"/>
                <w:szCs w:val="26"/>
              </w:rPr>
            </w:pPr>
          </w:p>
        </w:tc>
        <w:tc>
          <w:tcPr>
            <w:tcW w:w="5492" w:type="dxa"/>
            <w:shd w:val="clear" w:color="auto" w:fill="auto"/>
          </w:tcPr>
          <w:p w:rsidR="00BC13B9" w:rsidRDefault="00BC13B9" w:rsidP="00053332">
            <w:pPr>
              <w:spacing w:after="0" w:line="240" w:lineRule="auto"/>
              <w:rPr>
                <w:rFonts w:ascii="Times New Roman" w:hAnsi="Times New Roman"/>
                <w:bCs/>
                <w:sz w:val="26"/>
                <w:szCs w:val="26"/>
              </w:rPr>
            </w:pPr>
            <w:r>
              <w:rPr>
                <w:rFonts w:ascii="Times New Roman" w:hAnsi="Times New Roman"/>
                <w:bCs/>
                <w:sz w:val="26"/>
                <w:szCs w:val="26"/>
              </w:rPr>
              <w:t>Администрации Петропавловск-Камчатского городского округа объявить конкурс на выполнение работ по планировке и межеванию территории заключить договор на оказание таких услуг с квалифицированными организациями</w:t>
            </w:r>
          </w:p>
        </w:tc>
        <w:tc>
          <w:tcPr>
            <w:tcW w:w="3614" w:type="dxa"/>
            <w:shd w:val="clear" w:color="auto" w:fill="auto"/>
          </w:tcPr>
          <w:p w:rsidR="00BC13B9" w:rsidRDefault="00BC13B9" w:rsidP="00661974">
            <w:pPr>
              <w:spacing w:after="0" w:line="240" w:lineRule="auto"/>
              <w:rPr>
                <w:rFonts w:ascii="Times New Roman" w:hAnsi="Times New Roman"/>
                <w:bCs/>
                <w:sz w:val="26"/>
                <w:szCs w:val="26"/>
              </w:rPr>
            </w:pPr>
            <w:r>
              <w:rPr>
                <w:rFonts w:ascii="Times New Roman" w:hAnsi="Times New Roman"/>
                <w:bCs/>
                <w:sz w:val="26"/>
                <w:szCs w:val="26"/>
              </w:rPr>
              <w:t>Администрация Петропавловск-Камчатского городского округа</w:t>
            </w:r>
          </w:p>
        </w:tc>
      </w:tr>
      <w:tr w:rsidR="000266B2" w:rsidRPr="000266B2" w:rsidTr="00E74078">
        <w:trPr>
          <w:trHeight w:val="510"/>
        </w:trPr>
        <w:tc>
          <w:tcPr>
            <w:tcW w:w="14732" w:type="dxa"/>
            <w:gridSpan w:val="3"/>
            <w:shd w:val="clear" w:color="auto" w:fill="D9D9D9"/>
            <w:vAlign w:val="center"/>
            <w:hideMark/>
          </w:tcPr>
          <w:p w:rsidR="00661974" w:rsidRPr="000266B2" w:rsidRDefault="00661974" w:rsidP="00AC58CF">
            <w:pPr>
              <w:spacing w:after="0" w:line="240" w:lineRule="auto"/>
              <w:jc w:val="center"/>
              <w:rPr>
                <w:rFonts w:ascii="Times New Roman" w:hAnsi="Times New Roman"/>
                <w:b/>
                <w:bCs/>
                <w:sz w:val="26"/>
                <w:szCs w:val="26"/>
              </w:rPr>
            </w:pPr>
            <w:r w:rsidRPr="000266B2">
              <w:rPr>
                <w:rFonts w:ascii="Times New Roman" w:hAnsi="Times New Roman"/>
                <w:b/>
                <w:bCs/>
                <w:sz w:val="26"/>
                <w:szCs w:val="26"/>
              </w:rPr>
              <w:t xml:space="preserve">Сфера регулирования: </w:t>
            </w:r>
            <w:r w:rsidR="00AC58CF">
              <w:rPr>
                <w:rFonts w:ascii="Times New Roman" w:hAnsi="Times New Roman"/>
                <w:b/>
                <w:bCs/>
                <w:sz w:val="26"/>
                <w:szCs w:val="26"/>
              </w:rPr>
              <w:t>Малый и средний бизнес</w:t>
            </w:r>
          </w:p>
        </w:tc>
      </w:tr>
      <w:tr w:rsidR="000266B2" w:rsidRPr="000266B2" w:rsidTr="00E74078">
        <w:trPr>
          <w:trHeight w:val="810"/>
        </w:trPr>
        <w:tc>
          <w:tcPr>
            <w:tcW w:w="5626" w:type="dxa"/>
            <w:shd w:val="clear" w:color="auto" w:fill="D9D9D9"/>
            <w:vAlign w:val="center"/>
            <w:hideMark/>
          </w:tcPr>
          <w:p w:rsidR="00661974" w:rsidRPr="000266B2" w:rsidRDefault="00661974"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Проблематика</w:t>
            </w:r>
          </w:p>
        </w:tc>
        <w:tc>
          <w:tcPr>
            <w:tcW w:w="5492" w:type="dxa"/>
            <w:shd w:val="clear" w:color="auto" w:fill="D9D9D9"/>
            <w:vAlign w:val="center"/>
            <w:hideMark/>
          </w:tcPr>
          <w:p w:rsidR="00661974" w:rsidRPr="000266B2" w:rsidRDefault="00661974"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Необходимые решения</w:t>
            </w:r>
          </w:p>
        </w:tc>
        <w:tc>
          <w:tcPr>
            <w:tcW w:w="3614" w:type="dxa"/>
            <w:shd w:val="clear" w:color="auto" w:fill="D9D9D9"/>
            <w:vAlign w:val="center"/>
            <w:hideMark/>
          </w:tcPr>
          <w:p w:rsidR="00661974" w:rsidRPr="000266B2" w:rsidRDefault="00661974" w:rsidP="00661974">
            <w:pPr>
              <w:spacing w:after="0" w:line="240" w:lineRule="auto"/>
              <w:jc w:val="center"/>
              <w:rPr>
                <w:rFonts w:ascii="Times New Roman" w:hAnsi="Times New Roman"/>
                <w:b/>
                <w:bCs/>
                <w:sz w:val="26"/>
                <w:szCs w:val="26"/>
              </w:rPr>
            </w:pPr>
            <w:r w:rsidRPr="000266B2">
              <w:rPr>
                <w:rFonts w:ascii="Times New Roman" w:hAnsi="Times New Roman"/>
                <w:b/>
                <w:bCs/>
                <w:sz w:val="26"/>
                <w:szCs w:val="26"/>
              </w:rPr>
              <w:t>Перечень поручений</w:t>
            </w:r>
          </w:p>
        </w:tc>
      </w:tr>
      <w:tr w:rsidR="000266B2" w:rsidRPr="000266B2" w:rsidTr="00E74078">
        <w:trPr>
          <w:trHeight w:val="699"/>
        </w:trPr>
        <w:tc>
          <w:tcPr>
            <w:tcW w:w="5626" w:type="dxa"/>
            <w:shd w:val="clear" w:color="auto" w:fill="auto"/>
          </w:tcPr>
          <w:p w:rsidR="00AC3503" w:rsidRDefault="000F2EAB" w:rsidP="000F2EAB">
            <w:pPr>
              <w:spacing w:after="0" w:line="240" w:lineRule="auto"/>
              <w:jc w:val="both"/>
              <w:rPr>
                <w:rFonts w:ascii="Times New Roman" w:eastAsia="Batang" w:hAnsi="Times New Roman"/>
                <w:sz w:val="26"/>
                <w:szCs w:val="26"/>
              </w:rPr>
            </w:pPr>
            <w:r w:rsidRPr="000F2EAB">
              <w:rPr>
                <w:rFonts w:ascii="Times New Roman" w:eastAsia="Batang" w:hAnsi="Times New Roman"/>
                <w:sz w:val="26"/>
                <w:szCs w:val="26"/>
              </w:rPr>
              <w:t xml:space="preserve">Предприниматели не могут воспользоваться государственным и муниципальным имуществом для развития бизнеса, как предусматривает ст. 18 Федерального закона от 24.07.2007 № 209-ФЗ «О развитии малого и среднего предпринимательства в Российской Федерации». Недвижимость, указанная в Перечнях, роздана, в том числе </w:t>
            </w:r>
            <w:proofErr w:type="spellStart"/>
            <w:r w:rsidRPr="000F2EAB">
              <w:rPr>
                <w:rFonts w:ascii="Times New Roman" w:eastAsia="Batang" w:hAnsi="Times New Roman"/>
                <w:sz w:val="26"/>
                <w:szCs w:val="26"/>
              </w:rPr>
              <w:t>ГУПам</w:t>
            </w:r>
            <w:proofErr w:type="spellEnd"/>
            <w:r w:rsidRPr="000F2EAB">
              <w:rPr>
                <w:rFonts w:ascii="Times New Roman" w:eastAsia="Batang" w:hAnsi="Times New Roman"/>
                <w:sz w:val="26"/>
                <w:szCs w:val="26"/>
              </w:rPr>
              <w:t xml:space="preserve"> и </w:t>
            </w:r>
            <w:proofErr w:type="spellStart"/>
            <w:r w:rsidRPr="000F2EAB">
              <w:rPr>
                <w:rFonts w:ascii="Times New Roman" w:eastAsia="Batang" w:hAnsi="Times New Roman"/>
                <w:sz w:val="26"/>
                <w:szCs w:val="26"/>
              </w:rPr>
              <w:t>МУПам</w:t>
            </w:r>
            <w:proofErr w:type="spellEnd"/>
            <w:r w:rsidRPr="000F2EAB">
              <w:rPr>
                <w:rFonts w:ascii="Times New Roman" w:eastAsia="Batang" w:hAnsi="Times New Roman"/>
                <w:sz w:val="26"/>
                <w:szCs w:val="26"/>
              </w:rPr>
              <w:t xml:space="preserve"> или вообще не включена в Перечни. Многие объекты недвижимого имущества, расположенные в муниципальных образованиях края, особенно отдаленных его районах, брошены, полуразрушены, не числятся на балансе администраций и не включены в Перечень объектов недвижимого имущества, поэтому использоваться предпринимателями не </w:t>
            </w:r>
            <w:r w:rsidRPr="000F2EAB">
              <w:rPr>
                <w:rFonts w:ascii="Times New Roman" w:eastAsia="Batang" w:hAnsi="Times New Roman"/>
                <w:sz w:val="26"/>
                <w:szCs w:val="26"/>
              </w:rPr>
              <w:lastRenderedPageBreak/>
              <w:t>могут. Иное имущество, предусмотренное данной статьей Федерального закона № 209-ФЗ, вовсе не включено в Перечни муниципального имущества для передачи его субъектам предпринимательской деятельности. Отсутствует контроль уполномоченных органов власти по распоряжению государственным имуществом и органами местного самоуправления в вопросах его распоряжением.</w:t>
            </w:r>
          </w:p>
          <w:p w:rsidR="002321EC" w:rsidRPr="000F2EAB" w:rsidRDefault="002321EC" w:rsidP="000F2EAB">
            <w:pPr>
              <w:spacing w:after="0" w:line="240" w:lineRule="auto"/>
              <w:jc w:val="both"/>
              <w:rPr>
                <w:rFonts w:ascii="Times New Roman" w:hAnsi="Times New Roman"/>
                <w:bCs/>
                <w:sz w:val="26"/>
                <w:szCs w:val="26"/>
              </w:rPr>
            </w:pPr>
          </w:p>
        </w:tc>
        <w:tc>
          <w:tcPr>
            <w:tcW w:w="5492" w:type="dxa"/>
            <w:shd w:val="clear" w:color="auto" w:fill="auto"/>
          </w:tcPr>
          <w:p w:rsidR="00661974" w:rsidRPr="000F2EAB" w:rsidRDefault="000F2EAB" w:rsidP="000F2EAB">
            <w:pPr>
              <w:spacing w:after="0" w:line="240" w:lineRule="auto"/>
              <w:jc w:val="both"/>
              <w:rPr>
                <w:rFonts w:ascii="Times New Roman" w:hAnsi="Times New Roman"/>
                <w:bCs/>
                <w:sz w:val="26"/>
                <w:szCs w:val="26"/>
              </w:rPr>
            </w:pPr>
            <w:r w:rsidRPr="000F2EAB">
              <w:rPr>
                <w:rFonts w:ascii="Times New Roman" w:hAnsi="Times New Roman"/>
                <w:bCs/>
                <w:sz w:val="26"/>
                <w:szCs w:val="26"/>
              </w:rPr>
              <w:lastRenderedPageBreak/>
              <w:t>Сформировать полный реестр государственного и муниципального имущества Камчатского края с указанием</w:t>
            </w:r>
            <w:r>
              <w:rPr>
                <w:rFonts w:ascii="Times New Roman" w:hAnsi="Times New Roman"/>
                <w:bCs/>
                <w:sz w:val="26"/>
                <w:szCs w:val="26"/>
              </w:rPr>
              <w:t xml:space="preserve"> уже используемого и свободного имущества. Сформировать полный перечень имущества в каждом муниципальном образовании камчатского края в соответствии с Федеральным законом 209-ФЗ с включением в перечень неи</w:t>
            </w:r>
            <w:r w:rsidR="008A1323">
              <w:rPr>
                <w:rFonts w:ascii="Times New Roman" w:hAnsi="Times New Roman"/>
                <w:bCs/>
                <w:sz w:val="26"/>
                <w:szCs w:val="26"/>
              </w:rPr>
              <w:t>спользуемых объектов недвижимости. Все перечни имущества разместить в открытом доступе для предпринимателей.</w:t>
            </w:r>
          </w:p>
        </w:tc>
        <w:tc>
          <w:tcPr>
            <w:tcW w:w="3614" w:type="dxa"/>
            <w:shd w:val="clear" w:color="auto" w:fill="auto"/>
          </w:tcPr>
          <w:p w:rsidR="00661974" w:rsidRPr="000F2EAB" w:rsidRDefault="008A1323" w:rsidP="000F2EAB">
            <w:pPr>
              <w:spacing w:after="0" w:line="240" w:lineRule="auto"/>
              <w:jc w:val="both"/>
              <w:rPr>
                <w:rFonts w:ascii="Times New Roman" w:hAnsi="Times New Roman"/>
                <w:bCs/>
                <w:sz w:val="26"/>
                <w:szCs w:val="26"/>
              </w:rPr>
            </w:pPr>
            <w:r>
              <w:rPr>
                <w:rFonts w:ascii="Times New Roman" w:hAnsi="Times New Roman"/>
                <w:bCs/>
                <w:sz w:val="26"/>
                <w:szCs w:val="26"/>
              </w:rPr>
              <w:t>Министерство имущественных и земельных отношений камчатского края, органы местного самоуправления Камчатского края</w:t>
            </w:r>
          </w:p>
        </w:tc>
      </w:tr>
      <w:tr w:rsidR="00FD0A77" w:rsidRPr="000266B2" w:rsidTr="00E74078">
        <w:trPr>
          <w:trHeight w:val="699"/>
        </w:trPr>
        <w:tc>
          <w:tcPr>
            <w:tcW w:w="5626" w:type="dxa"/>
            <w:shd w:val="clear" w:color="auto" w:fill="auto"/>
          </w:tcPr>
          <w:p w:rsidR="00FD0A77" w:rsidRPr="00621C34" w:rsidRDefault="00621C34" w:rsidP="00621C34">
            <w:pPr>
              <w:spacing w:after="0" w:line="240" w:lineRule="auto"/>
              <w:jc w:val="both"/>
              <w:rPr>
                <w:rFonts w:ascii="Times New Roman" w:eastAsia="Batang" w:hAnsi="Times New Roman"/>
                <w:sz w:val="26"/>
                <w:szCs w:val="26"/>
              </w:rPr>
            </w:pPr>
            <w:r w:rsidRPr="00621C34">
              <w:rPr>
                <w:rFonts w:ascii="Times New Roman" w:eastAsia="Batang" w:hAnsi="Times New Roman"/>
                <w:sz w:val="26"/>
                <w:szCs w:val="26"/>
              </w:rPr>
              <w:t xml:space="preserve">Непомерно затянутая во времени (от 3-х до 6-и месяцев) процедура заключения договоров с владельцами НТО на размещение их торговых объектов. В связи с отсутствием договора на размещение НТО, предприниматели не могут заключать договоры на обслуживание своих объектов </w:t>
            </w:r>
            <w:proofErr w:type="spellStart"/>
            <w:r w:rsidRPr="00621C34">
              <w:rPr>
                <w:rFonts w:ascii="Times New Roman" w:eastAsia="Batang" w:hAnsi="Times New Roman"/>
                <w:sz w:val="26"/>
                <w:szCs w:val="26"/>
              </w:rPr>
              <w:t>энергоснабжающими</w:t>
            </w:r>
            <w:proofErr w:type="spellEnd"/>
            <w:r w:rsidRPr="00621C34">
              <w:rPr>
                <w:rFonts w:ascii="Times New Roman" w:eastAsia="Batang" w:hAnsi="Times New Roman"/>
                <w:sz w:val="26"/>
                <w:szCs w:val="26"/>
              </w:rPr>
              <w:t xml:space="preserve"> и прочими организациями. </w:t>
            </w:r>
            <w:r>
              <w:rPr>
                <w:rFonts w:ascii="Times New Roman" w:eastAsia="Batang" w:hAnsi="Times New Roman"/>
                <w:sz w:val="26"/>
                <w:szCs w:val="26"/>
              </w:rPr>
              <w:t>Администрация Петропавловск-Камчатского городского округа ссылается на мероприятия по реорганизации структур администрации</w:t>
            </w:r>
          </w:p>
        </w:tc>
        <w:tc>
          <w:tcPr>
            <w:tcW w:w="5492" w:type="dxa"/>
            <w:shd w:val="clear" w:color="auto" w:fill="auto"/>
          </w:tcPr>
          <w:p w:rsidR="00FD0A77" w:rsidRPr="000F2EAB" w:rsidRDefault="00621C34" w:rsidP="000F2EAB">
            <w:pPr>
              <w:spacing w:after="0" w:line="240" w:lineRule="auto"/>
              <w:jc w:val="both"/>
              <w:rPr>
                <w:rFonts w:ascii="Times New Roman" w:hAnsi="Times New Roman"/>
                <w:bCs/>
                <w:sz w:val="26"/>
                <w:szCs w:val="26"/>
              </w:rPr>
            </w:pPr>
            <w:r>
              <w:rPr>
                <w:rFonts w:ascii="Times New Roman" w:hAnsi="Times New Roman"/>
                <w:bCs/>
                <w:sz w:val="26"/>
                <w:szCs w:val="26"/>
              </w:rPr>
              <w:t>Заключать договоры с нынешними структурами администрации, после реорганизации управлений подписать с предпринимателями дополнительные соглашения с новыми ведомствами администрации</w:t>
            </w:r>
          </w:p>
        </w:tc>
        <w:tc>
          <w:tcPr>
            <w:tcW w:w="3614" w:type="dxa"/>
            <w:shd w:val="clear" w:color="auto" w:fill="auto"/>
          </w:tcPr>
          <w:p w:rsidR="00FD0A77" w:rsidRDefault="00621C34" w:rsidP="000F2EAB">
            <w:pPr>
              <w:spacing w:after="0" w:line="240" w:lineRule="auto"/>
              <w:jc w:val="both"/>
              <w:rPr>
                <w:rFonts w:ascii="Times New Roman" w:hAnsi="Times New Roman"/>
                <w:bCs/>
                <w:sz w:val="26"/>
                <w:szCs w:val="26"/>
              </w:rPr>
            </w:pPr>
            <w:r>
              <w:rPr>
                <w:rFonts w:ascii="Times New Roman" w:hAnsi="Times New Roman"/>
                <w:bCs/>
                <w:sz w:val="26"/>
                <w:szCs w:val="26"/>
              </w:rPr>
              <w:t>Администрация Петропавловск-Камчатского городского округа</w:t>
            </w:r>
          </w:p>
        </w:tc>
      </w:tr>
      <w:tr w:rsidR="00AD165C" w:rsidRPr="000266B2" w:rsidTr="00E74078">
        <w:trPr>
          <w:trHeight w:val="699"/>
        </w:trPr>
        <w:tc>
          <w:tcPr>
            <w:tcW w:w="5626" w:type="dxa"/>
            <w:shd w:val="clear" w:color="auto" w:fill="auto"/>
          </w:tcPr>
          <w:p w:rsidR="00AD165C" w:rsidRPr="006B6BE1" w:rsidRDefault="00AD165C" w:rsidP="00AD165C">
            <w:pPr>
              <w:spacing w:after="0" w:line="240" w:lineRule="auto"/>
              <w:rPr>
                <w:rFonts w:ascii="Times New Roman" w:hAnsi="Times New Roman"/>
                <w:bCs/>
                <w:sz w:val="26"/>
                <w:szCs w:val="26"/>
              </w:rPr>
            </w:pPr>
            <w:r w:rsidRPr="006B6BE1">
              <w:rPr>
                <w:rFonts w:ascii="Times New Roman" w:eastAsia="Batang" w:hAnsi="Times New Roman"/>
                <w:sz w:val="26"/>
                <w:szCs w:val="26"/>
              </w:rPr>
              <w:t>Отсутствие в крае центра трансфера существующих современных технологий, а также доработки новых технологий камчатских ученых для последующей коммерциализации и использования бизнесом.</w:t>
            </w:r>
          </w:p>
        </w:tc>
        <w:tc>
          <w:tcPr>
            <w:tcW w:w="5492" w:type="dxa"/>
            <w:shd w:val="clear" w:color="auto" w:fill="auto"/>
          </w:tcPr>
          <w:p w:rsidR="00AD165C" w:rsidRDefault="00AD165C" w:rsidP="00AD165C">
            <w:pPr>
              <w:spacing w:after="0" w:line="240" w:lineRule="auto"/>
              <w:rPr>
                <w:rFonts w:ascii="Times New Roman" w:hAnsi="Times New Roman"/>
                <w:bCs/>
                <w:sz w:val="26"/>
                <w:szCs w:val="26"/>
              </w:rPr>
            </w:pPr>
            <w:r>
              <w:rPr>
                <w:rFonts w:ascii="Times New Roman" w:hAnsi="Times New Roman"/>
                <w:bCs/>
                <w:sz w:val="26"/>
                <w:szCs w:val="26"/>
              </w:rPr>
              <w:t>Разработать и принять закон Камчатского края об инновационной деятельности в камчатском крае. В законе предусмотреть статью о создании центра трансфера современных технологий</w:t>
            </w:r>
          </w:p>
          <w:p w:rsidR="00AD165C" w:rsidRPr="00265C5E" w:rsidRDefault="00AD165C" w:rsidP="00AD165C">
            <w:pPr>
              <w:spacing w:after="0" w:line="240" w:lineRule="auto"/>
              <w:rPr>
                <w:rFonts w:ascii="Times New Roman" w:hAnsi="Times New Roman"/>
                <w:bCs/>
                <w:sz w:val="26"/>
                <w:szCs w:val="26"/>
              </w:rPr>
            </w:pPr>
          </w:p>
        </w:tc>
        <w:tc>
          <w:tcPr>
            <w:tcW w:w="3614" w:type="dxa"/>
            <w:shd w:val="clear" w:color="auto" w:fill="auto"/>
          </w:tcPr>
          <w:p w:rsidR="00AD165C" w:rsidRDefault="00AD165C" w:rsidP="00AD165C">
            <w:pPr>
              <w:spacing w:after="0" w:line="240" w:lineRule="auto"/>
              <w:rPr>
                <w:rFonts w:ascii="Times New Roman" w:hAnsi="Times New Roman"/>
                <w:bCs/>
                <w:sz w:val="26"/>
                <w:szCs w:val="26"/>
              </w:rPr>
            </w:pPr>
            <w:r>
              <w:rPr>
                <w:rFonts w:ascii="Times New Roman" w:hAnsi="Times New Roman"/>
                <w:bCs/>
                <w:sz w:val="26"/>
                <w:szCs w:val="26"/>
              </w:rPr>
              <w:t>Депутатам Законодательного Собрания камчатского края совместно с Министерством образования и науки Камчатского края выступить с законодательной инициативой о принятии закона об инновационной деятельности в Камчатском крае</w:t>
            </w:r>
          </w:p>
          <w:p w:rsidR="00AD165C" w:rsidRPr="00265C5E" w:rsidRDefault="00AD165C" w:rsidP="00AD165C">
            <w:pPr>
              <w:spacing w:after="0" w:line="240" w:lineRule="auto"/>
              <w:rPr>
                <w:rFonts w:ascii="Times New Roman" w:hAnsi="Times New Roman"/>
                <w:bCs/>
                <w:sz w:val="26"/>
                <w:szCs w:val="26"/>
              </w:rPr>
            </w:pPr>
          </w:p>
        </w:tc>
      </w:tr>
      <w:tr w:rsidR="00AD165C" w:rsidRPr="000266B2" w:rsidTr="00E74078">
        <w:trPr>
          <w:trHeight w:val="510"/>
        </w:trPr>
        <w:tc>
          <w:tcPr>
            <w:tcW w:w="14732" w:type="dxa"/>
            <w:gridSpan w:val="3"/>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Pr>
                <w:rFonts w:ascii="Times New Roman" w:hAnsi="Times New Roman"/>
                <w:b/>
                <w:bCs/>
                <w:sz w:val="26"/>
                <w:szCs w:val="26"/>
              </w:rPr>
              <w:t xml:space="preserve">Сфера регулирования: </w:t>
            </w:r>
            <w:r w:rsidR="00D20987">
              <w:rPr>
                <w:rFonts w:ascii="Times New Roman" w:hAnsi="Times New Roman"/>
                <w:b/>
                <w:bCs/>
                <w:sz w:val="26"/>
                <w:szCs w:val="26"/>
              </w:rPr>
              <w:t>Строительство и жилищно-коммунальное хозяйство</w:t>
            </w:r>
          </w:p>
        </w:tc>
      </w:tr>
      <w:tr w:rsidR="00AD165C" w:rsidRPr="000266B2" w:rsidTr="00E74078">
        <w:trPr>
          <w:trHeight w:val="810"/>
        </w:trPr>
        <w:tc>
          <w:tcPr>
            <w:tcW w:w="5626" w:type="dxa"/>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sidRPr="000266B2">
              <w:rPr>
                <w:rFonts w:ascii="Times New Roman" w:hAnsi="Times New Roman"/>
                <w:b/>
                <w:bCs/>
                <w:sz w:val="26"/>
                <w:szCs w:val="26"/>
              </w:rPr>
              <w:t>Проблематика</w:t>
            </w:r>
          </w:p>
        </w:tc>
        <w:tc>
          <w:tcPr>
            <w:tcW w:w="5492" w:type="dxa"/>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sidRPr="000266B2">
              <w:rPr>
                <w:rFonts w:ascii="Times New Roman" w:hAnsi="Times New Roman"/>
                <w:b/>
                <w:bCs/>
                <w:sz w:val="26"/>
                <w:szCs w:val="26"/>
              </w:rPr>
              <w:t>Необходимые решения</w:t>
            </w:r>
          </w:p>
        </w:tc>
        <w:tc>
          <w:tcPr>
            <w:tcW w:w="3614" w:type="dxa"/>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sidRPr="000266B2">
              <w:rPr>
                <w:rFonts w:ascii="Times New Roman" w:hAnsi="Times New Roman"/>
                <w:b/>
                <w:bCs/>
                <w:sz w:val="26"/>
                <w:szCs w:val="26"/>
              </w:rPr>
              <w:t>Перечень поручений</w:t>
            </w:r>
          </w:p>
        </w:tc>
      </w:tr>
      <w:tr w:rsidR="00AD165C" w:rsidRPr="000266B2" w:rsidTr="00E74078">
        <w:trPr>
          <w:trHeight w:val="699"/>
        </w:trPr>
        <w:tc>
          <w:tcPr>
            <w:tcW w:w="5626" w:type="dxa"/>
            <w:shd w:val="clear" w:color="auto" w:fill="auto"/>
          </w:tcPr>
          <w:p w:rsidR="00AD165C" w:rsidRPr="006B6BE1" w:rsidRDefault="00D20987" w:rsidP="00AD165C">
            <w:pPr>
              <w:spacing w:after="0" w:line="240" w:lineRule="auto"/>
              <w:rPr>
                <w:rFonts w:ascii="Times New Roman" w:hAnsi="Times New Roman"/>
                <w:bCs/>
                <w:sz w:val="26"/>
                <w:szCs w:val="26"/>
              </w:rPr>
            </w:pPr>
            <w:r>
              <w:rPr>
                <w:rFonts w:ascii="Times New Roman" w:hAnsi="Times New Roman"/>
                <w:bCs/>
                <w:sz w:val="26"/>
                <w:szCs w:val="26"/>
              </w:rPr>
              <w:t>При наличии положительного заключения государственной экспертизы проектной документации, проектную организацию практически невозможно привлечь к ответственности за выявленные существенные ошибки в проектной документации. Проектные институты затягивают сроки по подготовке проектных решений, направленных на устранение недочетов в проекте. В результате затягиваются сроки строительства и срывается ввод в эксплуатацию. За срыв сроков заказчик привлекает к ответственности подрядчика</w:t>
            </w:r>
          </w:p>
        </w:tc>
        <w:tc>
          <w:tcPr>
            <w:tcW w:w="5492" w:type="dxa"/>
            <w:shd w:val="clear" w:color="auto" w:fill="auto"/>
          </w:tcPr>
          <w:p w:rsidR="00AD165C" w:rsidRPr="00265C5E" w:rsidRDefault="00D20987" w:rsidP="00EF6043">
            <w:pPr>
              <w:spacing w:after="0" w:line="240" w:lineRule="auto"/>
              <w:rPr>
                <w:rFonts w:ascii="Times New Roman" w:hAnsi="Times New Roman"/>
                <w:bCs/>
                <w:sz w:val="26"/>
                <w:szCs w:val="26"/>
              </w:rPr>
            </w:pPr>
            <w:r>
              <w:rPr>
                <w:rFonts w:ascii="Times New Roman" w:hAnsi="Times New Roman"/>
                <w:bCs/>
                <w:sz w:val="26"/>
                <w:szCs w:val="26"/>
              </w:rPr>
              <w:t>Разработать</w:t>
            </w:r>
            <w:r w:rsidR="00EF6043">
              <w:rPr>
                <w:rFonts w:ascii="Times New Roman" w:hAnsi="Times New Roman"/>
                <w:bCs/>
                <w:sz w:val="26"/>
                <w:szCs w:val="26"/>
              </w:rPr>
              <w:t xml:space="preserve"> проект нормативного правового </w:t>
            </w:r>
            <w:r>
              <w:rPr>
                <w:rFonts w:ascii="Times New Roman" w:hAnsi="Times New Roman"/>
                <w:bCs/>
                <w:sz w:val="26"/>
                <w:szCs w:val="26"/>
              </w:rPr>
              <w:t>акт</w:t>
            </w:r>
            <w:r w:rsidR="00EF6043">
              <w:rPr>
                <w:rFonts w:ascii="Times New Roman" w:hAnsi="Times New Roman"/>
                <w:bCs/>
                <w:sz w:val="26"/>
                <w:szCs w:val="26"/>
              </w:rPr>
              <w:t>а</w:t>
            </w:r>
            <w:r>
              <w:rPr>
                <w:rFonts w:ascii="Times New Roman" w:hAnsi="Times New Roman"/>
                <w:bCs/>
                <w:sz w:val="26"/>
                <w:szCs w:val="26"/>
              </w:rPr>
              <w:t>, который регламентирует ответственность проектной организации и государственной экспертизы за срыв сроков ввода в эксплуатацию и за ошибки в проектно-сметной документации, обнаруженные в процессе строительства</w:t>
            </w:r>
            <w:r w:rsidR="00EF6043">
              <w:rPr>
                <w:rFonts w:ascii="Times New Roman" w:hAnsi="Times New Roman"/>
                <w:bCs/>
                <w:sz w:val="26"/>
                <w:szCs w:val="26"/>
              </w:rPr>
              <w:t>. Внести в Государственную Думу РФ на рассмотрение</w:t>
            </w:r>
          </w:p>
        </w:tc>
        <w:tc>
          <w:tcPr>
            <w:tcW w:w="3614" w:type="dxa"/>
            <w:shd w:val="clear" w:color="auto" w:fill="auto"/>
          </w:tcPr>
          <w:p w:rsidR="00AD165C" w:rsidRPr="00265C5E" w:rsidRDefault="00D20987" w:rsidP="00AD165C">
            <w:pPr>
              <w:spacing w:after="0" w:line="240" w:lineRule="auto"/>
              <w:rPr>
                <w:rFonts w:ascii="Times New Roman" w:hAnsi="Times New Roman"/>
                <w:bCs/>
                <w:sz w:val="26"/>
                <w:szCs w:val="26"/>
              </w:rPr>
            </w:pPr>
            <w:r>
              <w:rPr>
                <w:rFonts w:ascii="Times New Roman" w:hAnsi="Times New Roman"/>
                <w:bCs/>
                <w:sz w:val="26"/>
                <w:szCs w:val="26"/>
              </w:rPr>
              <w:t>Министерство строительства и жилищно-коммунального хозяйства Р</w:t>
            </w:r>
            <w:r w:rsidR="00EF6043">
              <w:rPr>
                <w:rFonts w:ascii="Times New Roman" w:hAnsi="Times New Roman"/>
                <w:bCs/>
                <w:sz w:val="26"/>
                <w:szCs w:val="26"/>
              </w:rPr>
              <w:t>Ф</w:t>
            </w:r>
          </w:p>
        </w:tc>
      </w:tr>
      <w:tr w:rsidR="00AD165C" w:rsidRPr="000266B2" w:rsidTr="00E74078">
        <w:trPr>
          <w:trHeight w:val="510"/>
        </w:trPr>
        <w:tc>
          <w:tcPr>
            <w:tcW w:w="14732" w:type="dxa"/>
            <w:gridSpan w:val="3"/>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sidRPr="000266B2">
              <w:rPr>
                <w:rFonts w:ascii="Times New Roman" w:hAnsi="Times New Roman"/>
                <w:b/>
                <w:bCs/>
                <w:sz w:val="26"/>
                <w:szCs w:val="26"/>
              </w:rPr>
              <w:t xml:space="preserve">Сфера регулирования: </w:t>
            </w:r>
            <w:r>
              <w:rPr>
                <w:rFonts w:ascii="Times New Roman" w:hAnsi="Times New Roman"/>
                <w:b/>
                <w:bCs/>
                <w:sz w:val="26"/>
                <w:szCs w:val="26"/>
              </w:rPr>
              <w:t>Таможенное регулирование</w:t>
            </w:r>
          </w:p>
        </w:tc>
      </w:tr>
      <w:tr w:rsidR="00AD165C" w:rsidRPr="000266B2" w:rsidTr="00E74078">
        <w:trPr>
          <w:trHeight w:val="810"/>
        </w:trPr>
        <w:tc>
          <w:tcPr>
            <w:tcW w:w="5626" w:type="dxa"/>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sidRPr="000266B2">
              <w:rPr>
                <w:rFonts w:ascii="Times New Roman" w:hAnsi="Times New Roman"/>
                <w:b/>
                <w:bCs/>
                <w:sz w:val="26"/>
                <w:szCs w:val="26"/>
              </w:rPr>
              <w:t>Проблематика</w:t>
            </w:r>
          </w:p>
        </w:tc>
        <w:tc>
          <w:tcPr>
            <w:tcW w:w="5492" w:type="dxa"/>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sidRPr="000266B2">
              <w:rPr>
                <w:rFonts w:ascii="Times New Roman" w:hAnsi="Times New Roman"/>
                <w:b/>
                <w:bCs/>
                <w:sz w:val="26"/>
                <w:szCs w:val="26"/>
              </w:rPr>
              <w:t>Необходимые решения</w:t>
            </w:r>
          </w:p>
        </w:tc>
        <w:tc>
          <w:tcPr>
            <w:tcW w:w="3614" w:type="dxa"/>
            <w:shd w:val="clear" w:color="auto" w:fill="D9D9D9"/>
            <w:vAlign w:val="center"/>
            <w:hideMark/>
          </w:tcPr>
          <w:p w:rsidR="00AD165C" w:rsidRPr="000266B2" w:rsidRDefault="00AD165C" w:rsidP="00AD165C">
            <w:pPr>
              <w:spacing w:after="0" w:line="240" w:lineRule="auto"/>
              <w:jc w:val="center"/>
              <w:rPr>
                <w:rFonts w:ascii="Times New Roman" w:hAnsi="Times New Roman"/>
                <w:b/>
                <w:bCs/>
                <w:sz w:val="26"/>
                <w:szCs w:val="26"/>
              </w:rPr>
            </w:pPr>
            <w:r w:rsidRPr="000266B2">
              <w:rPr>
                <w:rFonts w:ascii="Times New Roman" w:hAnsi="Times New Roman"/>
                <w:b/>
                <w:bCs/>
                <w:sz w:val="26"/>
                <w:szCs w:val="26"/>
              </w:rPr>
              <w:t>Перечень поручений</w:t>
            </w:r>
          </w:p>
        </w:tc>
      </w:tr>
      <w:tr w:rsidR="00AD165C" w:rsidRPr="000266B2" w:rsidTr="00E74078">
        <w:trPr>
          <w:trHeight w:val="699"/>
        </w:trPr>
        <w:tc>
          <w:tcPr>
            <w:tcW w:w="5626" w:type="dxa"/>
            <w:shd w:val="clear" w:color="auto" w:fill="auto"/>
          </w:tcPr>
          <w:p w:rsidR="00AD165C" w:rsidRPr="000F70A5" w:rsidRDefault="00AD165C" w:rsidP="00AD165C">
            <w:pPr>
              <w:spacing w:after="0" w:line="240" w:lineRule="auto"/>
              <w:rPr>
                <w:rFonts w:ascii="Times New Roman" w:hAnsi="Times New Roman"/>
                <w:bCs/>
                <w:sz w:val="26"/>
                <w:szCs w:val="26"/>
              </w:rPr>
            </w:pPr>
            <w:r w:rsidRPr="000F70A5">
              <w:rPr>
                <w:rFonts w:ascii="Times New Roman" w:eastAsia="Batang" w:hAnsi="Times New Roman"/>
                <w:sz w:val="26"/>
                <w:szCs w:val="26"/>
              </w:rPr>
              <w:t>Таможенные органы для увеличения своих показателей по товарообороту включают тару и другие комплектующие для выпуска продукции, находящиеся на рыбопромысловых судах, в товар, пересекающий границу Российской Федерации, при этом возникает пошлина и иные платежи, которые есть не что иное, как дополнительное финансовое обременение рыбаков, влияющие на удорожание продукции</w:t>
            </w:r>
          </w:p>
        </w:tc>
        <w:tc>
          <w:tcPr>
            <w:tcW w:w="5492" w:type="dxa"/>
            <w:shd w:val="clear" w:color="auto" w:fill="auto"/>
          </w:tcPr>
          <w:p w:rsidR="00AD165C" w:rsidRPr="00265C5E" w:rsidRDefault="00AD165C" w:rsidP="00AD165C">
            <w:pPr>
              <w:spacing w:after="0" w:line="240" w:lineRule="auto"/>
              <w:rPr>
                <w:rFonts w:ascii="Times New Roman" w:hAnsi="Times New Roman"/>
                <w:bCs/>
                <w:sz w:val="26"/>
                <w:szCs w:val="26"/>
              </w:rPr>
            </w:pPr>
            <w:r>
              <w:rPr>
                <w:rFonts w:ascii="Times New Roman" w:hAnsi="Times New Roman"/>
                <w:bCs/>
                <w:sz w:val="26"/>
                <w:szCs w:val="26"/>
              </w:rPr>
              <w:t>Разработать порядок учета использования товарных запасов и иных комплектующих на рыболовных и рыбоперерабатывающих судах при пересечении ими государственной границы с целью исключения данных производственных запасов из объема товара, подлежащего декларированию с дополнительным финансовым обременением</w:t>
            </w:r>
          </w:p>
        </w:tc>
        <w:tc>
          <w:tcPr>
            <w:tcW w:w="3614" w:type="dxa"/>
            <w:shd w:val="clear" w:color="auto" w:fill="auto"/>
          </w:tcPr>
          <w:p w:rsidR="00AD165C" w:rsidRPr="00265C5E" w:rsidRDefault="00AD165C" w:rsidP="00AD165C">
            <w:pPr>
              <w:spacing w:after="0" w:line="240" w:lineRule="auto"/>
              <w:rPr>
                <w:rFonts w:ascii="Times New Roman" w:hAnsi="Times New Roman"/>
                <w:bCs/>
                <w:sz w:val="26"/>
                <w:szCs w:val="26"/>
              </w:rPr>
            </w:pPr>
            <w:r>
              <w:rPr>
                <w:rFonts w:ascii="Times New Roman" w:hAnsi="Times New Roman"/>
                <w:bCs/>
                <w:sz w:val="26"/>
                <w:szCs w:val="26"/>
              </w:rPr>
              <w:t>Таможенный комитет РФ, Федеральное агентство по рыболовству</w:t>
            </w:r>
          </w:p>
        </w:tc>
      </w:tr>
    </w:tbl>
    <w:p w:rsidR="00E4299E" w:rsidRPr="000266B2" w:rsidRDefault="00E4299E" w:rsidP="00087D1E">
      <w:pPr>
        <w:pStyle w:val="a3"/>
        <w:tabs>
          <w:tab w:val="left" w:pos="142"/>
        </w:tabs>
        <w:spacing w:after="0" w:line="240" w:lineRule="auto"/>
        <w:ind w:left="0"/>
        <w:rPr>
          <w:rFonts w:ascii="Times New Roman" w:hAnsi="Times New Roman"/>
          <w:b/>
          <w:sz w:val="26"/>
          <w:szCs w:val="26"/>
        </w:rPr>
      </w:pPr>
    </w:p>
    <w:sectPr w:rsidR="00E4299E" w:rsidRPr="000266B2" w:rsidSect="00087D1E">
      <w:footerReference w:type="default" r:id="rId8"/>
      <w:pgSz w:w="16838" w:h="11906" w:orient="landscape"/>
      <w:pgMar w:top="426" w:right="962"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04" w:rsidRDefault="005C7F04" w:rsidP="00AC3503">
      <w:pPr>
        <w:spacing w:after="0" w:line="240" w:lineRule="auto"/>
      </w:pPr>
      <w:r>
        <w:separator/>
      </w:r>
    </w:p>
  </w:endnote>
  <w:endnote w:type="continuationSeparator" w:id="0">
    <w:p w:rsidR="005C7F04" w:rsidRDefault="005C7F04" w:rsidP="00AC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812113"/>
      <w:docPartObj>
        <w:docPartGallery w:val="Page Numbers (Bottom of Page)"/>
        <w:docPartUnique/>
      </w:docPartObj>
    </w:sdtPr>
    <w:sdtEndPr>
      <w:rPr>
        <w:rFonts w:ascii="Times New Roman" w:hAnsi="Times New Roman"/>
        <w:sz w:val="20"/>
        <w:szCs w:val="20"/>
      </w:rPr>
    </w:sdtEndPr>
    <w:sdtContent>
      <w:p w:rsidR="006D44D9" w:rsidRPr="006D44D9" w:rsidRDefault="006D44D9">
        <w:pPr>
          <w:pStyle w:val="a9"/>
          <w:jc w:val="right"/>
          <w:rPr>
            <w:rFonts w:ascii="Times New Roman" w:hAnsi="Times New Roman"/>
            <w:sz w:val="20"/>
            <w:szCs w:val="20"/>
          </w:rPr>
        </w:pPr>
        <w:r w:rsidRPr="006D44D9">
          <w:rPr>
            <w:rFonts w:ascii="Times New Roman" w:hAnsi="Times New Roman"/>
            <w:sz w:val="20"/>
            <w:szCs w:val="20"/>
          </w:rPr>
          <w:fldChar w:fldCharType="begin"/>
        </w:r>
        <w:r w:rsidRPr="006D44D9">
          <w:rPr>
            <w:rFonts w:ascii="Times New Roman" w:hAnsi="Times New Roman"/>
            <w:sz w:val="20"/>
            <w:szCs w:val="20"/>
          </w:rPr>
          <w:instrText>PAGE   \* MERGEFORMAT</w:instrText>
        </w:r>
        <w:r w:rsidRPr="006D44D9">
          <w:rPr>
            <w:rFonts w:ascii="Times New Roman" w:hAnsi="Times New Roman"/>
            <w:sz w:val="20"/>
            <w:szCs w:val="20"/>
          </w:rPr>
          <w:fldChar w:fldCharType="separate"/>
        </w:r>
        <w:r w:rsidR="00880CAB">
          <w:rPr>
            <w:rFonts w:ascii="Times New Roman" w:hAnsi="Times New Roman"/>
            <w:noProof/>
            <w:sz w:val="20"/>
            <w:szCs w:val="20"/>
          </w:rPr>
          <w:t>5</w:t>
        </w:r>
        <w:r w:rsidRPr="006D44D9">
          <w:rPr>
            <w:rFonts w:ascii="Times New Roman" w:hAnsi="Times New Roman"/>
            <w:sz w:val="20"/>
            <w:szCs w:val="20"/>
          </w:rPr>
          <w:fldChar w:fldCharType="end"/>
        </w:r>
      </w:p>
    </w:sdtContent>
  </w:sdt>
  <w:p w:rsidR="00AC3503" w:rsidRDefault="00AC35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04" w:rsidRDefault="005C7F04" w:rsidP="00AC3503">
      <w:pPr>
        <w:spacing w:after="0" w:line="240" w:lineRule="auto"/>
      </w:pPr>
      <w:r>
        <w:separator/>
      </w:r>
    </w:p>
  </w:footnote>
  <w:footnote w:type="continuationSeparator" w:id="0">
    <w:p w:rsidR="005C7F04" w:rsidRDefault="005C7F04" w:rsidP="00AC3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F02"/>
    <w:multiLevelType w:val="hybridMultilevel"/>
    <w:tmpl w:val="DC820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5F"/>
    <w:rsid w:val="000260C4"/>
    <w:rsid w:val="000266B2"/>
    <w:rsid w:val="00045528"/>
    <w:rsid w:val="000507ED"/>
    <w:rsid w:val="00050B55"/>
    <w:rsid w:val="00053332"/>
    <w:rsid w:val="00087D1E"/>
    <w:rsid w:val="000A66EB"/>
    <w:rsid w:val="000E6307"/>
    <w:rsid w:val="000F1A7B"/>
    <w:rsid w:val="000F2EAB"/>
    <w:rsid w:val="000F70A5"/>
    <w:rsid w:val="00100FE2"/>
    <w:rsid w:val="0013277C"/>
    <w:rsid w:val="001609FB"/>
    <w:rsid w:val="00164AF3"/>
    <w:rsid w:val="00174DA4"/>
    <w:rsid w:val="001934AA"/>
    <w:rsid w:val="001B652E"/>
    <w:rsid w:val="00204122"/>
    <w:rsid w:val="00204757"/>
    <w:rsid w:val="00226268"/>
    <w:rsid w:val="002321EC"/>
    <w:rsid w:val="00252619"/>
    <w:rsid w:val="00257476"/>
    <w:rsid w:val="00262B1F"/>
    <w:rsid w:val="00265C5E"/>
    <w:rsid w:val="002C432C"/>
    <w:rsid w:val="00300572"/>
    <w:rsid w:val="003109F7"/>
    <w:rsid w:val="0032689E"/>
    <w:rsid w:val="0036436C"/>
    <w:rsid w:val="00366594"/>
    <w:rsid w:val="0039471B"/>
    <w:rsid w:val="003A2136"/>
    <w:rsid w:val="003D5209"/>
    <w:rsid w:val="003F40DC"/>
    <w:rsid w:val="00430875"/>
    <w:rsid w:val="00450D82"/>
    <w:rsid w:val="00455429"/>
    <w:rsid w:val="00472714"/>
    <w:rsid w:val="00474A7E"/>
    <w:rsid w:val="004A0153"/>
    <w:rsid w:val="00504962"/>
    <w:rsid w:val="00511502"/>
    <w:rsid w:val="00512177"/>
    <w:rsid w:val="00512179"/>
    <w:rsid w:val="00537407"/>
    <w:rsid w:val="0054336C"/>
    <w:rsid w:val="00556E7C"/>
    <w:rsid w:val="0057160C"/>
    <w:rsid w:val="00594CE7"/>
    <w:rsid w:val="005B2423"/>
    <w:rsid w:val="005B63E5"/>
    <w:rsid w:val="005C7F04"/>
    <w:rsid w:val="005D0030"/>
    <w:rsid w:val="005D1C12"/>
    <w:rsid w:val="005D3939"/>
    <w:rsid w:val="005E326E"/>
    <w:rsid w:val="005E3CA5"/>
    <w:rsid w:val="00600523"/>
    <w:rsid w:val="00612853"/>
    <w:rsid w:val="00621C34"/>
    <w:rsid w:val="00654414"/>
    <w:rsid w:val="00661974"/>
    <w:rsid w:val="006739DC"/>
    <w:rsid w:val="00674336"/>
    <w:rsid w:val="006870D1"/>
    <w:rsid w:val="006B6BE1"/>
    <w:rsid w:val="006C4421"/>
    <w:rsid w:val="006D44D9"/>
    <w:rsid w:val="006E02AD"/>
    <w:rsid w:val="00701F9F"/>
    <w:rsid w:val="00733A89"/>
    <w:rsid w:val="0078407C"/>
    <w:rsid w:val="008064FF"/>
    <w:rsid w:val="008156C4"/>
    <w:rsid w:val="00823133"/>
    <w:rsid w:val="00853576"/>
    <w:rsid w:val="00876AEF"/>
    <w:rsid w:val="00880CAB"/>
    <w:rsid w:val="008A1323"/>
    <w:rsid w:val="008A14F6"/>
    <w:rsid w:val="009001DD"/>
    <w:rsid w:val="0093090B"/>
    <w:rsid w:val="00973724"/>
    <w:rsid w:val="0099234E"/>
    <w:rsid w:val="009A077B"/>
    <w:rsid w:val="009E4B03"/>
    <w:rsid w:val="009F2859"/>
    <w:rsid w:val="009F315F"/>
    <w:rsid w:val="00A054CC"/>
    <w:rsid w:val="00A30EA6"/>
    <w:rsid w:val="00A350E5"/>
    <w:rsid w:val="00A37298"/>
    <w:rsid w:val="00A42280"/>
    <w:rsid w:val="00A44B30"/>
    <w:rsid w:val="00A662E2"/>
    <w:rsid w:val="00AB1A7C"/>
    <w:rsid w:val="00AC3503"/>
    <w:rsid w:val="00AC58CF"/>
    <w:rsid w:val="00AC7E11"/>
    <w:rsid w:val="00AD165C"/>
    <w:rsid w:val="00B12A8E"/>
    <w:rsid w:val="00B14B11"/>
    <w:rsid w:val="00B51C90"/>
    <w:rsid w:val="00B76E62"/>
    <w:rsid w:val="00B76E9F"/>
    <w:rsid w:val="00B9349C"/>
    <w:rsid w:val="00B972BF"/>
    <w:rsid w:val="00BB103E"/>
    <w:rsid w:val="00BB1FAA"/>
    <w:rsid w:val="00BB3511"/>
    <w:rsid w:val="00BC13B9"/>
    <w:rsid w:val="00BC68E6"/>
    <w:rsid w:val="00BD372B"/>
    <w:rsid w:val="00C04DB0"/>
    <w:rsid w:val="00C07E4A"/>
    <w:rsid w:val="00C12687"/>
    <w:rsid w:val="00C151FA"/>
    <w:rsid w:val="00C2400C"/>
    <w:rsid w:val="00C545E0"/>
    <w:rsid w:val="00C8461C"/>
    <w:rsid w:val="00CB2F87"/>
    <w:rsid w:val="00CC32B3"/>
    <w:rsid w:val="00D20987"/>
    <w:rsid w:val="00D302AB"/>
    <w:rsid w:val="00D37E36"/>
    <w:rsid w:val="00D71BDC"/>
    <w:rsid w:val="00D736CD"/>
    <w:rsid w:val="00D73DBC"/>
    <w:rsid w:val="00D75D7E"/>
    <w:rsid w:val="00DA1EAA"/>
    <w:rsid w:val="00DA2FFC"/>
    <w:rsid w:val="00DA7DF0"/>
    <w:rsid w:val="00DD1674"/>
    <w:rsid w:val="00E15F6B"/>
    <w:rsid w:val="00E24334"/>
    <w:rsid w:val="00E2481A"/>
    <w:rsid w:val="00E42701"/>
    <w:rsid w:val="00E4299E"/>
    <w:rsid w:val="00E543DA"/>
    <w:rsid w:val="00E60B05"/>
    <w:rsid w:val="00E74078"/>
    <w:rsid w:val="00E93A91"/>
    <w:rsid w:val="00E9606C"/>
    <w:rsid w:val="00EC337D"/>
    <w:rsid w:val="00EF6043"/>
    <w:rsid w:val="00EF7606"/>
    <w:rsid w:val="00F33A80"/>
    <w:rsid w:val="00F54D0F"/>
    <w:rsid w:val="00F90613"/>
    <w:rsid w:val="00FB5DF1"/>
    <w:rsid w:val="00FC30F4"/>
    <w:rsid w:val="00FD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129A3-B69B-4FC4-8DA8-EE359A28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1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15F"/>
    <w:pPr>
      <w:ind w:left="720"/>
      <w:contextualSpacing/>
    </w:pPr>
  </w:style>
  <w:style w:type="paragraph" w:styleId="a4">
    <w:name w:val="No Spacing"/>
    <w:uiPriority w:val="1"/>
    <w:qFormat/>
    <w:rsid w:val="009F315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5433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36C"/>
    <w:rPr>
      <w:rFonts w:ascii="Tahoma" w:eastAsia="Calibri" w:hAnsi="Tahoma" w:cs="Tahoma"/>
      <w:sz w:val="16"/>
      <w:szCs w:val="16"/>
    </w:rPr>
  </w:style>
  <w:style w:type="paragraph" w:styleId="a7">
    <w:name w:val="header"/>
    <w:basedOn w:val="a"/>
    <w:link w:val="a8"/>
    <w:uiPriority w:val="99"/>
    <w:unhideWhenUsed/>
    <w:rsid w:val="00AC35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3503"/>
    <w:rPr>
      <w:rFonts w:ascii="Calibri" w:eastAsia="Calibri" w:hAnsi="Calibri" w:cs="Times New Roman"/>
    </w:rPr>
  </w:style>
  <w:style w:type="paragraph" w:styleId="a9">
    <w:name w:val="footer"/>
    <w:basedOn w:val="a"/>
    <w:link w:val="aa"/>
    <w:uiPriority w:val="99"/>
    <w:unhideWhenUsed/>
    <w:rsid w:val="00AC35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3503"/>
    <w:rPr>
      <w:rFonts w:ascii="Calibri" w:eastAsia="Calibri" w:hAnsi="Calibri" w:cs="Times New Roman"/>
    </w:rPr>
  </w:style>
  <w:style w:type="character" w:customStyle="1" w:styleId="apple-converted-space">
    <w:name w:val="apple-converted-space"/>
    <w:basedOn w:val="a0"/>
    <w:rsid w:val="00E7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FAAC-3F82-4317-BF49-06E29DDF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Палата Уполномоченных</cp:lastModifiedBy>
  <cp:revision>3</cp:revision>
  <cp:lastPrinted>2015-03-31T01:40:00Z</cp:lastPrinted>
  <dcterms:created xsi:type="dcterms:W3CDTF">2016-04-01T00:27:00Z</dcterms:created>
  <dcterms:modified xsi:type="dcterms:W3CDTF">2016-04-04T21:35:00Z</dcterms:modified>
</cp:coreProperties>
</file>